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90C19" w14:textId="77777777" w:rsidR="00826575" w:rsidRPr="00600A71" w:rsidRDefault="00826575" w:rsidP="00826575">
      <w:pPr>
        <w:spacing w:beforeLines="50" w:before="156"/>
        <w:jc w:val="center"/>
        <w:rPr>
          <w:rFonts w:ascii="方正小标宋简体" w:eastAsia="方正小标宋简体" w:hAnsi="黑体" w:hint="eastAsia"/>
          <w:sz w:val="36"/>
          <w:szCs w:val="36"/>
        </w:rPr>
      </w:pPr>
    </w:p>
    <w:p w14:paraId="69720F98" w14:textId="77777777" w:rsidR="00826575" w:rsidRPr="00600A71" w:rsidRDefault="00826575" w:rsidP="00826575">
      <w:pPr>
        <w:spacing w:afterLines="50" w:after="156"/>
        <w:jc w:val="center"/>
        <w:rPr>
          <w:rFonts w:ascii="方正小标宋简体" w:eastAsia="方正小标宋简体" w:hAnsi="黑体" w:hint="eastAsia"/>
          <w:sz w:val="36"/>
          <w:szCs w:val="36"/>
        </w:rPr>
      </w:pPr>
      <w:r w:rsidRPr="00600A71">
        <w:rPr>
          <w:rFonts w:ascii="方正小标宋简体" w:eastAsia="方正小标宋简体" w:hAnsi="黑体" w:hint="eastAsia"/>
          <w:sz w:val="36"/>
          <w:szCs w:val="36"/>
        </w:rPr>
        <w:t>科学放鱼体验点建设标准</w:t>
      </w:r>
    </w:p>
    <w:p w14:paraId="57CD2571" w14:textId="77777777" w:rsidR="00826575" w:rsidRPr="00600A71" w:rsidRDefault="00826575" w:rsidP="00826575">
      <w:pPr>
        <w:ind w:firstLineChars="200" w:firstLine="640"/>
        <w:rPr>
          <w:rFonts w:ascii="Times New Roman" w:eastAsia="仿宋_GB2312" w:hAnsi="Times New Roman" w:hint="eastAsia"/>
          <w:sz w:val="32"/>
          <w:szCs w:val="32"/>
        </w:rPr>
      </w:pPr>
    </w:p>
    <w:p w14:paraId="7422371D" w14:textId="77777777" w:rsidR="00826575" w:rsidRPr="00600A71" w:rsidRDefault="00826575" w:rsidP="00826575">
      <w:pPr>
        <w:ind w:firstLineChars="200" w:firstLine="643"/>
        <w:rPr>
          <w:rFonts w:ascii="楷体_GB2312" w:eastAsia="楷体_GB2312" w:hAnsi="Times New Roman"/>
          <w:b/>
          <w:bCs/>
          <w:sz w:val="32"/>
          <w:szCs w:val="32"/>
          <w:lang w:bidi="ar"/>
        </w:rPr>
      </w:pPr>
      <w:r w:rsidRPr="00600A71">
        <w:rPr>
          <w:rFonts w:ascii="楷体_GB2312" w:eastAsia="楷体_GB2312" w:hAnsi="Times New Roman" w:hint="eastAsia"/>
          <w:b/>
          <w:bCs/>
          <w:sz w:val="32"/>
          <w:szCs w:val="32"/>
          <w:lang w:bidi="ar"/>
        </w:rPr>
        <w:t>（一）工作场所设施完善</w:t>
      </w:r>
    </w:p>
    <w:p w14:paraId="5FA95649" w14:textId="77777777" w:rsidR="00826575" w:rsidRPr="00600A71" w:rsidRDefault="00826575" w:rsidP="00826575">
      <w:pPr>
        <w:ind w:firstLineChars="200" w:firstLine="643"/>
        <w:rPr>
          <w:rFonts w:ascii="仿宋_GB2312" w:eastAsia="仿宋_GB2312" w:hint="eastAsia"/>
          <w:sz w:val="32"/>
          <w:szCs w:val="32"/>
        </w:rPr>
      </w:pPr>
      <w:r w:rsidRPr="00600A71">
        <w:rPr>
          <w:rFonts w:ascii="Times New Roman" w:eastAsia="仿宋_GB2312" w:hAnsi="Times New Roman"/>
          <w:b/>
          <w:bCs/>
          <w:sz w:val="32"/>
          <w:szCs w:val="32"/>
        </w:rPr>
        <w:t>1.</w:t>
      </w:r>
      <w:r w:rsidRPr="00600A71">
        <w:rPr>
          <w:rFonts w:ascii="Times New Roman" w:eastAsia="仿宋_GB2312" w:hAnsi="Times New Roman" w:hint="eastAsia"/>
          <w:b/>
          <w:bCs/>
          <w:sz w:val="32"/>
          <w:szCs w:val="32"/>
        </w:rPr>
        <w:t>工作场所。</w:t>
      </w:r>
      <w:r w:rsidRPr="00600A71">
        <w:rPr>
          <w:rFonts w:ascii="仿宋_GB2312" w:eastAsia="仿宋_GB2312" w:hint="eastAsia"/>
          <w:sz w:val="32"/>
          <w:szCs w:val="32"/>
        </w:rPr>
        <w:t>具有固定的工作场所，工作场所面积达到</w:t>
      </w:r>
      <w:r w:rsidRPr="00600A71">
        <w:rPr>
          <w:rFonts w:ascii="Times New Roman" w:eastAsia="仿宋_GB2312" w:hAnsi="Times New Roman"/>
          <w:sz w:val="32"/>
          <w:szCs w:val="32"/>
        </w:rPr>
        <w:t>50</w:t>
      </w:r>
      <w:r w:rsidRPr="00600A71">
        <w:rPr>
          <w:rFonts w:ascii="Times New Roman" w:eastAsia="仿宋_GB2312" w:hAnsi="Times New Roman" w:hint="eastAsia"/>
          <w:sz w:val="32"/>
          <w:szCs w:val="32"/>
        </w:rPr>
        <w:t>平方米以上。场所内有水产苗种暂养设施设备，具备长期暂养条件，暂养水体总体积达到</w:t>
      </w:r>
      <w:r w:rsidRPr="00600A71">
        <w:rPr>
          <w:rFonts w:ascii="Times New Roman" w:eastAsia="仿宋_GB2312" w:hAnsi="Times New Roman"/>
          <w:sz w:val="32"/>
          <w:szCs w:val="32"/>
        </w:rPr>
        <w:t>5</w:t>
      </w:r>
      <w:r w:rsidRPr="00600A71">
        <w:rPr>
          <w:rFonts w:ascii="Times New Roman" w:eastAsia="仿宋_GB2312" w:hAnsi="Times New Roman" w:hint="eastAsia"/>
          <w:sz w:val="32"/>
          <w:szCs w:val="32"/>
        </w:rPr>
        <w:t>立方</w:t>
      </w:r>
      <w:r w:rsidRPr="00600A71">
        <w:rPr>
          <w:rFonts w:ascii="仿宋_GB2312" w:eastAsia="仿宋_GB2312" w:hint="eastAsia"/>
          <w:sz w:val="32"/>
          <w:szCs w:val="32"/>
        </w:rPr>
        <w:t>米以上。</w:t>
      </w:r>
    </w:p>
    <w:p w14:paraId="7E600702" w14:textId="77777777" w:rsidR="00826575" w:rsidRPr="00600A71" w:rsidRDefault="00826575" w:rsidP="00826575">
      <w:pPr>
        <w:ind w:firstLineChars="200" w:firstLine="643"/>
        <w:rPr>
          <w:rFonts w:ascii="仿宋_GB2312" w:eastAsia="仿宋_GB2312" w:hint="eastAsia"/>
          <w:sz w:val="32"/>
          <w:szCs w:val="32"/>
        </w:rPr>
      </w:pPr>
      <w:r w:rsidRPr="00600A71">
        <w:rPr>
          <w:rFonts w:ascii="Times New Roman" w:eastAsia="仿宋_GB2312" w:hAnsi="Times New Roman"/>
          <w:b/>
          <w:bCs/>
          <w:sz w:val="32"/>
          <w:szCs w:val="32"/>
        </w:rPr>
        <w:t>2.</w:t>
      </w:r>
      <w:r w:rsidRPr="00600A71">
        <w:rPr>
          <w:rFonts w:ascii="Times New Roman" w:eastAsia="仿宋_GB2312" w:hAnsi="Times New Roman" w:hint="eastAsia"/>
          <w:b/>
          <w:bCs/>
          <w:sz w:val="32"/>
          <w:szCs w:val="32"/>
        </w:rPr>
        <w:t>定</w:t>
      </w:r>
      <w:r w:rsidRPr="00600A71">
        <w:rPr>
          <w:rFonts w:ascii="仿宋_GB2312" w:eastAsia="仿宋_GB2312" w:hAnsi="仿宋_GB2312" w:cs="仿宋_GB2312" w:hint="eastAsia"/>
          <w:b/>
          <w:bCs/>
          <w:sz w:val="32"/>
          <w:szCs w:val="32"/>
        </w:rPr>
        <w:t>点平台。</w:t>
      </w:r>
      <w:r w:rsidRPr="00600A71">
        <w:rPr>
          <w:rFonts w:ascii="仿宋_GB2312" w:eastAsia="仿宋_GB2312" w:hint="eastAsia"/>
          <w:sz w:val="32"/>
          <w:szCs w:val="32"/>
        </w:rPr>
        <w:t>工作场所周边设有省级以上行政主管部门公布认定的水生生物社会放流（放生）平台。</w:t>
      </w:r>
    </w:p>
    <w:p w14:paraId="44F9C56C" w14:textId="77777777" w:rsidR="00826575" w:rsidRPr="00600A71" w:rsidRDefault="00826575" w:rsidP="00826575">
      <w:pPr>
        <w:ind w:firstLineChars="200" w:firstLine="643"/>
        <w:rPr>
          <w:rFonts w:ascii="仿宋_GB2312" w:eastAsia="仿宋_GB2312" w:hint="eastAsia"/>
          <w:sz w:val="32"/>
          <w:szCs w:val="32"/>
        </w:rPr>
      </w:pPr>
      <w:r w:rsidRPr="00600A71">
        <w:rPr>
          <w:rFonts w:ascii="Times New Roman" w:eastAsia="仿宋_GB2312" w:hAnsi="Times New Roman"/>
          <w:b/>
          <w:bCs/>
          <w:sz w:val="32"/>
          <w:szCs w:val="32"/>
        </w:rPr>
        <w:t>3.</w:t>
      </w:r>
      <w:r w:rsidRPr="00600A71">
        <w:rPr>
          <w:rFonts w:ascii="Times New Roman" w:eastAsia="仿宋_GB2312" w:hAnsi="Times New Roman" w:hint="eastAsia"/>
          <w:b/>
          <w:bCs/>
          <w:sz w:val="32"/>
          <w:szCs w:val="32"/>
        </w:rPr>
        <w:t>宣传设施。</w:t>
      </w:r>
      <w:r w:rsidRPr="00600A71">
        <w:rPr>
          <w:rFonts w:ascii="仿宋_GB2312" w:eastAsia="仿宋_GB2312" w:hint="eastAsia"/>
          <w:sz w:val="32"/>
          <w:szCs w:val="32"/>
        </w:rPr>
        <w:t>工作场所内或周边设置了专门的科学放生科普宣传栏、宣传展馆等宣传设施，宣传展示内容包括水生生物放流（放生）相关政策法规、适宜放流物种、严禁放流物种、放流平台公示信息、科学放鱼体验点工作流程等内容。</w:t>
      </w:r>
    </w:p>
    <w:p w14:paraId="3D179714" w14:textId="77777777" w:rsidR="00826575" w:rsidRPr="00600A71" w:rsidRDefault="00826575" w:rsidP="00826575">
      <w:pPr>
        <w:ind w:firstLineChars="200" w:firstLine="643"/>
        <w:rPr>
          <w:rFonts w:ascii="楷体_GB2312" w:eastAsia="楷体_GB2312" w:hAnsi="Times New Roman" w:hint="eastAsia"/>
          <w:b/>
          <w:bCs/>
          <w:sz w:val="32"/>
          <w:szCs w:val="32"/>
          <w:lang w:bidi="ar"/>
        </w:rPr>
      </w:pPr>
      <w:r w:rsidRPr="00600A71">
        <w:rPr>
          <w:rFonts w:ascii="楷体_GB2312" w:eastAsia="楷体_GB2312" w:hAnsi="Times New Roman" w:hint="eastAsia"/>
          <w:b/>
          <w:bCs/>
          <w:sz w:val="32"/>
          <w:szCs w:val="32"/>
          <w:lang w:bidi="ar"/>
        </w:rPr>
        <w:t>（二）活动组织规范有序</w:t>
      </w:r>
    </w:p>
    <w:p w14:paraId="4D0BA1BF" w14:textId="77777777" w:rsidR="00826575" w:rsidRPr="00600A71" w:rsidRDefault="00826575" w:rsidP="00826575">
      <w:pPr>
        <w:ind w:firstLineChars="200" w:firstLine="643"/>
        <w:rPr>
          <w:rFonts w:ascii="仿宋_GB2312" w:eastAsia="仿宋_GB2312" w:hint="eastAsia"/>
          <w:sz w:val="32"/>
          <w:szCs w:val="32"/>
        </w:rPr>
      </w:pPr>
      <w:r w:rsidRPr="00600A71">
        <w:rPr>
          <w:rFonts w:ascii="Times New Roman" w:eastAsia="仿宋_GB2312" w:hAnsi="Times New Roman"/>
          <w:b/>
          <w:bCs/>
          <w:sz w:val="32"/>
          <w:szCs w:val="32"/>
        </w:rPr>
        <w:t>1.</w:t>
      </w:r>
      <w:r w:rsidRPr="00600A71">
        <w:rPr>
          <w:rFonts w:ascii="Times New Roman" w:eastAsia="仿宋_GB2312" w:hAnsi="Times New Roman" w:hint="eastAsia"/>
          <w:b/>
          <w:bCs/>
          <w:sz w:val="32"/>
          <w:szCs w:val="32"/>
        </w:rPr>
        <w:t>场所管理。</w:t>
      </w:r>
      <w:r w:rsidRPr="00600A71">
        <w:rPr>
          <w:rFonts w:ascii="仿宋_GB2312" w:eastAsia="仿宋_GB2312" w:hint="eastAsia"/>
          <w:sz w:val="32"/>
          <w:szCs w:val="32"/>
        </w:rPr>
        <w:t>工作场所内有固定的社会组织或服务团队负责长期运营管理，专职工作人员不少</w:t>
      </w:r>
      <w:r w:rsidRPr="00600A71">
        <w:rPr>
          <w:rFonts w:ascii="Times New Roman" w:eastAsia="仿宋_GB2312" w:hAnsi="Times New Roman" w:hint="eastAsia"/>
          <w:sz w:val="32"/>
          <w:szCs w:val="32"/>
        </w:rPr>
        <w:t>于</w:t>
      </w:r>
      <w:r w:rsidRPr="00600A71">
        <w:rPr>
          <w:rFonts w:ascii="Times New Roman" w:eastAsia="仿宋_GB2312" w:hAnsi="Times New Roman"/>
          <w:sz w:val="32"/>
          <w:szCs w:val="32"/>
        </w:rPr>
        <w:t>3</w:t>
      </w:r>
      <w:r w:rsidRPr="00600A71">
        <w:rPr>
          <w:rFonts w:ascii="仿宋_GB2312" w:eastAsia="仿宋_GB2312" w:hint="eastAsia"/>
          <w:sz w:val="32"/>
          <w:szCs w:val="32"/>
        </w:rPr>
        <w:t>人。</w:t>
      </w:r>
    </w:p>
    <w:p w14:paraId="5249012A" w14:textId="77777777" w:rsidR="00826575" w:rsidRPr="00600A71" w:rsidRDefault="00826575" w:rsidP="00826575">
      <w:pPr>
        <w:ind w:firstLineChars="200" w:firstLine="643"/>
        <w:rPr>
          <w:rFonts w:ascii="仿宋_GB2312" w:eastAsia="仿宋_GB2312" w:hAnsi="仿宋_GB2312" w:cs="仿宋_GB2312" w:hint="eastAsia"/>
          <w:b/>
          <w:sz w:val="32"/>
          <w:szCs w:val="32"/>
        </w:rPr>
      </w:pPr>
      <w:r w:rsidRPr="00600A71">
        <w:rPr>
          <w:rFonts w:ascii="Times New Roman" w:eastAsia="仿宋_GB2312" w:hAnsi="Times New Roman"/>
          <w:b/>
          <w:bCs/>
          <w:sz w:val="32"/>
          <w:szCs w:val="32"/>
        </w:rPr>
        <w:t>2.</w:t>
      </w:r>
      <w:r w:rsidRPr="00600A71">
        <w:rPr>
          <w:rFonts w:ascii="Times New Roman" w:eastAsia="仿宋_GB2312" w:hAnsi="Times New Roman" w:hint="eastAsia"/>
          <w:b/>
          <w:bCs/>
          <w:sz w:val="32"/>
          <w:szCs w:val="32"/>
        </w:rPr>
        <w:t>活动组织。</w:t>
      </w:r>
      <w:r w:rsidRPr="00600A71">
        <w:rPr>
          <w:rFonts w:ascii="仿宋_GB2312" w:eastAsia="仿宋_GB2312" w:hint="eastAsia"/>
          <w:sz w:val="32"/>
          <w:szCs w:val="32"/>
        </w:rPr>
        <w:t>定期组织开展规范的水生生物社会放生活动，</w:t>
      </w:r>
      <w:r w:rsidRPr="00600A71">
        <w:rPr>
          <w:rFonts w:ascii="Times New Roman" w:eastAsia="仿宋_GB2312" w:hAnsi="Times New Roman" w:hint="eastAsia"/>
          <w:sz w:val="32"/>
          <w:szCs w:val="32"/>
        </w:rPr>
        <w:t>能够按照工作流程引导社会公众参与放流（放生）活动。</w:t>
      </w:r>
      <w:r w:rsidRPr="00600A71">
        <w:rPr>
          <w:rFonts w:ascii="仿宋_GB2312" w:eastAsia="仿宋_GB2312" w:hint="eastAsia"/>
          <w:sz w:val="32"/>
          <w:szCs w:val="32"/>
        </w:rPr>
        <w:t>每年组织放生</w:t>
      </w:r>
      <w:r w:rsidRPr="00600A71">
        <w:rPr>
          <w:rFonts w:ascii="Times New Roman" w:eastAsia="仿宋_GB2312" w:hAnsi="Times New Roman" w:hint="eastAsia"/>
          <w:sz w:val="32"/>
          <w:szCs w:val="32"/>
        </w:rPr>
        <w:t>活动超过</w:t>
      </w:r>
      <w:r w:rsidRPr="00600A71">
        <w:rPr>
          <w:rFonts w:ascii="Times New Roman" w:eastAsia="仿宋_GB2312" w:hAnsi="Times New Roman"/>
          <w:sz w:val="32"/>
          <w:szCs w:val="32"/>
        </w:rPr>
        <w:t>10</w:t>
      </w:r>
      <w:r w:rsidRPr="00600A71">
        <w:rPr>
          <w:rFonts w:ascii="Times New Roman" w:eastAsia="仿宋_GB2312" w:hAnsi="Times New Roman" w:hint="eastAsia"/>
          <w:sz w:val="32"/>
          <w:szCs w:val="32"/>
        </w:rPr>
        <w:t>次，总参与</w:t>
      </w:r>
      <w:proofErr w:type="gramStart"/>
      <w:r w:rsidRPr="00600A71">
        <w:rPr>
          <w:rFonts w:ascii="Times New Roman" w:eastAsia="仿宋_GB2312" w:hAnsi="Times New Roman" w:hint="eastAsia"/>
          <w:sz w:val="32"/>
          <w:szCs w:val="32"/>
        </w:rPr>
        <w:t>人次不</w:t>
      </w:r>
      <w:proofErr w:type="gramEnd"/>
      <w:r w:rsidRPr="00600A71">
        <w:rPr>
          <w:rFonts w:ascii="Times New Roman" w:eastAsia="仿宋_GB2312" w:hAnsi="Times New Roman" w:hint="eastAsia"/>
          <w:sz w:val="32"/>
          <w:szCs w:val="32"/>
        </w:rPr>
        <w:t>少于</w:t>
      </w:r>
      <w:r w:rsidRPr="00600A71">
        <w:rPr>
          <w:rFonts w:ascii="Times New Roman" w:eastAsia="仿宋_GB2312" w:hAnsi="Times New Roman"/>
          <w:sz w:val="32"/>
          <w:szCs w:val="32"/>
        </w:rPr>
        <w:t>1000</w:t>
      </w:r>
      <w:r w:rsidRPr="00600A71">
        <w:rPr>
          <w:rFonts w:ascii="仿宋_GB2312" w:eastAsia="仿宋_GB2312" w:hint="eastAsia"/>
          <w:sz w:val="32"/>
          <w:szCs w:val="32"/>
        </w:rPr>
        <w:t>人次。</w:t>
      </w:r>
    </w:p>
    <w:p w14:paraId="55BE8DDC" w14:textId="77777777" w:rsidR="00826575" w:rsidRPr="00600A71" w:rsidRDefault="00826575" w:rsidP="00826575">
      <w:pPr>
        <w:ind w:firstLineChars="200" w:firstLine="643"/>
        <w:rPr>
          <w:rFonts w:ascii="仿宋_GB2312" w:eastAsia="仿宋_GB2312" w:hint="eastAsia"/>
          <w:sz w:val="32"/>
          <w:szCs w:val="32"/>
        </w:rPr>
      </w:pPr>
      <w:r w:rsidRPr="00600A71">
        <w:rPr>
          <w:rFonts w:ascii="Times New Roman" w:eastAsia="仿宋_GB2312" w:hAnsi="Times New Roman"/>
          <w:b/>
          <w:bCs/>
          <w:sz w:val="32"/>
          <w:szCs w:val="32"/>
        </w:rPr>
        <w:t>3.</w:t>
      </w:r>
      <w:r w:rsidRPr="00600A71">
        <w:rPr>
          <w:rFonts w:ascii="Times New Roman" w:eastAsia="仿宋_GB2312" w:hAnsi="Times New Roman" w:hint="eastAsia"/>
          <w:b/>
          <w:bCs/>
          <w:sz w:val="32"/>
          <w:szCs w:val="32"/>
        </w:rPr>
        <w:t>放生备案。</w:t>
      </w:r>
      <w:r w:rsidRPr="00600A71">
        <w:rPr>
          <w:rFonts w:ascii="仿宋_GB2312" w:eastAsia="仿宋_GB2312" w:hint="eastAsia"/>
          <w:sz w:val="32"/>
          <w:szCs w:val="32"/>
        </w:rPr>
        <w:t>工作场所所在区县已开通“放鱼吧”社会放生备案小程序，社会公众开展水生生物放生活动可以通过小程序进行备案。工作场所专职人员能够熟练操作使用小程</w:t>
      </w:r>
      <w:r w:rsidRPr="00600A71">
        <w:rPr>
          <w:rFonts w:ascii="仿宋_GB2312" w:eastAsia="仿宋_GB2312" w:hint="eastAsia"/>
          <w:sz w:val="32"/>
          <w:szCs w:val="32"/>
        </w:rPr>
        <w:lastRenderedPageBreak/>
        <w:t>序，指导或帮助社会公众开展放生活动备案。</w:t>
      </w:r>
    </w:p>
    <w:p w14:paraId="0A551674" w14:textId="77777777" w:rsidR="00826575" w:rsidRPr="00600A71" w:rsidRDefault="00826575" w:rsidP="00826575">
      <w:pPr>
        <w:ind w:firstLineChars="200" w:firstLine="643"/>
        <w:rPr>
          <w:rFonts w:ascii="楷体_GB2312" w:eastAsia="楷体_GB2312" w:hAnsi="Times New Roman" w:hint="eastAsia"/>
          <w:b/>
          <w:bCs/>
          <w:sz w:val="32"/>
          <w:szCs w:val="32"/>
          <w:lang w:bidi="ar"/>
        </w:rPr>
      </w:pPr>
      <w:r w:rsidRPr="00600A71">
        <w:rPr>
          <w:rFonts w:ascii="楷体_GB2312" w:eastAsia="楷体_GB2312" w:hAnsi="Times New Roman" w:hint="eastAsia"/>
          <w:b/>
          <w:bCs/>
          <w:sz w:val="32"/>
          <w:szCs w:val="32"/>
          <w:lang w:bidi="ar"/>
        </w:rPr>
        <w:t>（三）苗种质量安全可靠</w:t>
      </w:r>
    </w:p>
    <w:p w14:paraId="7D4B1855" w14:textId="77777777" w:rsidR="00826575" w:rsidRPr="00600A71" w:rsidRDefault="00826575" w:rsidP="00826575">
      <w:pPr>
        <w:ind w:firstLineChars="200" w:firstLine="643"/>
        <w:rPr>
          <w:rFonts w:ascii="仿宋_GB2312" w:eastAsia="仿宋_GB2312" w:hint="eastAsia"/>
          <w:sz w:val="32"/>
          <w:szCs w:val="32"/>
        </w:rPr>
      </w:pPr>
      <w:r w:rsidRPr="00600A71">
        <w:rPr>
          <w:rFonts w:ascii="Times New Roman" w:eastAsia="仿宋_GB2312" w:hAnsi="Times New Roman"/>
          <w:b/>
          <w:bCs/>
          <w:sz w:val="32"/>
          <w:szCs w:val="32"/>
        </w:rPr>
        <w:t>1.</w:t>
      </w:r>
      <w:r w:rsidRPr="00600A71">
        <w:rPr>
          <w:rFonts w:ascii="Times New Roman" w:eastAsia="仿宋_GB2312" w:hAnsi="Times New Roman" w:hint="eastAsia"/>
          <w:b/>
          <w:bCs/>
          <w:sz w:val="32"/>
          <w:szCs w:val="32"/>
        </w:rPr>
        <w:t>苗种种类。</w:t>
      </w:r>
      <w:r w:rsidRPr="00600A71">
        <w:rPr>
          <w:rFonts w:ascii="仿宋_GB2312" w:eastAsia="仿宋_GB2312" w:hint="eastAsia"/>
          <w:sz w:val="32"/>
          <w:szCs w:val="32"/>
        </w:rPr>
        <w:t>用于放生的水产苗种种类是当地水域的原生种，能够提供所在地县级以上渔业主管部门或水产技术推广机构出具的体验点适宜放流物种证明材料。</w:t>
      </w:r>
    </w:p>
    <w:p w14:paraId="44F17DEC" w14:textId="77777777" w:rsidR="00826575" w:rsidRPr="00600A71" w:rsidRDefault="00826575" w:rsidP="00826575">
      <w:pPr>
        <w:ind w:firstLineChars="200" w:firstLine="643"/>
        <w:rPr>
          <w:rFonts w:ascii="仿宋_GB2312" w:eastAsia="仿宋_GB2312" w:hAnsi="仿宋_GB2312" w:cs="仿宋_GB2312" w:hint="eastAsia"/>
          <w:b/>
          <w:sz w:val="32"/>
          <w:szCs w:val="32"/>
        </w:rPr>
      </w:pPr>
      <w:r w:rsidRPr="00600A71">
        <w:rPr>
          <w:rFonts w:ascii="Times New Roman" w:eastAsia="仿宋_GB2312" w:hAnsi="Times New Roman"/>
          <w:b/>
          <w:bCs/>
          <w:sz w:val="32"/>
          <w:szCs w:val="32"/>
        </w:rPr>
        <w:t>2.</w:t>
      </w:r>
      <w:r w:rsidRPr="00600A71">
        <w:rPr>
          <w:rFonts w:ascii="Times New Roman" w:eastAsia="仿宋_GB2312" w:hAnsi="Times New Roman" w:hint="eastAsia"/>
          <w:b/>
          <w:bCs/>
          <w:sz w:val="32"/>
          <w:szCs w:val="32"/>
        </w:rPr>
        <w:t>苗种来源。</w:t>
      </w:r>
      <w:r w:rsidRPr="00600A71">
        <w:rPr>
          <w:rFonts w:ascii="仿宋_GB2312" w:eastAsia="仿宋_GB2312" w:hint="eastAsia"/>
          <w:sz w:val="32"/>
          <w:szCs w:val="32"/>
        </w:rPr>
        <w:t>用于放生的水产苗种来源于有资质的水产苗种生产单位，优先选择县级以上原种场或省级以上渔业主管部门公布的水生生物增殖放流苗种供应单位。</w:t>
      </w:r>
    </w:p>
    <w:p w14:paraId="7F78A91D" w14:textId="77777777" w:rsidR="00826575" w:rsidRPr="00600A71" w:rsidRDefault="00826575" w:rsidP="00826575">
      <w:pPr>
        <w:ind w:firstLineChars="200" w:firstLine="643"/>
        <w:rPr>
          <w:rFonts w:ascii="仿宋_GB2312" w:eastAsia="仿宋_GB2312" w:hAnsi="仿宋_GB2312" w:cs="仿宋_GB2312" w:hint="eastAsia"/>
          <w:b/>
          <w:sz w:val="32"/>
          <w:szCs w:val="32"/>
        </w:rPr>
      </w:pPr>
      <w:r w:rsidRPr="00600A71">
        <w:rPr>
          <w:rFonts w:ascii="Times New Roman" w:eastAsia="仿宋_GB2312" w:hAnsi="Times New Roman"/>
          <w:b/>
          <w:bCs/>
          <w:sz w:val="32"/>
          <w:szCs w:val="32"/>
        </w:rPr>
        <w:t>3.</w:t>
      </w:r>
      <w:r w:rsidRPr="00600A71">
        <w:rPr>
          <w:rFonts w:ascii="Times New Roman" w:eastAsia="仿宋_GB2312" w:hAnsi="Times New Roman" w:hint="eastAsia"/>
          <w:b/>
          <w:bCs/>
          <w:sz w:val="32"/>
          <w:szCs w:val="32"/>
        </w:rPr>
        <w:t>质量安全。</w:t>
      </w:r>
      <w:r w:rsidRPr="00600A71">
        <w:rPr>
          <w:rFonts w:ascii="仿宋_GB2312" w:eastAsia="仿宋_GB2312" w:hint="eastAsia"/>
          <w:sz w:val="32"/>
          <w:szCs w:val="32"/>
        </w:rPr>
        <w:t>用于放生的水产苗种应经过水产苗种检验检疫合格。社会公众参与放流（放生）活动时，体验点能够提供</w:t>
      </w:r>
      <w:r w:rsidRPr="00600A71">
        <w:rPr>
          <w:rFonts w:ascii="仿宋_GB2312" w:eastAsia="仿宋_GB2312" w:hAnsi="Times New Roman" w:hint="eastAsia"/>
          <w:sz w:val="32"/>
          <w:szCs w:val="32"/>
        </w:rPr>
        <w:t>水产苗种检验检疫合格证明材料。</w:t>
      </w:r>
    </w:p>
    <w:p w14:paraId="0EA61BFA" w14:textId="77777777" w:rsidR="002C5339" w:rsidRPr="00826575" w:rsidRDefault="002C5339"/>
    <w:sectPr w:rsidR="002C5339" w:rsidRPr="008265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CFCCE" w14:textId="77777777" w:rsidR="00167FDD" w:rsidRDefault="00167FDD" w:rsidP="00826575">
      <w:pPr>
        <w:rPr>
          <w:rFonts w:hint="eastAsia"/>
        </w:rPr>
      </w:pPr>
      <w:r>
        <w:separator/>
      </w:r>
    </w:p>
  </w:endnote>
  <w:endnote w:type="continuationSeparator" w:id="0">
    <w:p w14:paraId="71805BD5" w14:textId="77777777" w:rsidR="00167FDD" w:rsidRDefault="00167FDD" w:rsidP="0082657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7B4EB" w14:textId="77777777" w:rsidR="00167FDD" w:rsidRDefault="00167FDD" w:rsidP="00826575">
      <w:pPr>
        <w:rPr>
          <w:rFonts w:hint="eastAsia"/>
        </w:rPr>
      </w:pPr>
      <w:r>
        <w:separator/>
      </w:r>
    </w:p>
  </w:footnote>
  <w:footnote w:type="continuationSeparator" w:id="0">
    <w:p w14:paraId="65B0375E" w14:textId="77777777" w:rsidR="00167FDD" w:rsidRDefault="00167FDD" w:rsidP="0082657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39"/>
    <w:rsid w:val="000B1155"/>
    <w:rsid w:val="00167FDD"/>
    <w:rsid w:val="002C5339"/>
    <w:rsid w:val="0082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A7CE5BF-5F20-46A0-BF8F-BCBF8979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575"/>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2C5339"/>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2C5339"/>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2C5339"/>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2C5339"/>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2C5339"/>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2C5339"/>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2C5339"/>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2C5339"/>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2C5339"/>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33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C533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C533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C5339"/>
    <w:rPr>
      <w:rFonts w:cstheme="majorBidi"/>
      <w:color w:val="0F4761" w:themeColor="accent1" w:themeShade="BF"/>
      <w:sz w:val="28"/>
      <w:szCs w:val="28"/>
    </w:rPr>
  </w:style>
  <w:style w:type="character" w:customStyle="1" w:styleId="50">
    <w:name w:val="标题 5 字符"/>
    <w:basedOn w:val="a0"/>
    <w:link w:val="5"/>
    <w:uiPriority w:val="9"/>
    <w:semiHidden/>
    <w:rsid w:val="002C5339"/>
    <w:rPr>
      <w:rFonts w:cstheme="majorBidi"/>
      <w:color w:val="0F4761" w:themeColor="accent1" w:themeShade="BF"/>
      <w:sz w:val="24"/>
    </w:rPr>
  </w:style>
  <w:style w:type="character" w:customStyle="1" w:styleId="60">
    <w:name w:val="标题 6 字符"/>
    <w:basedOn w:val="a0"/>
    <w:link w:val="6"/>
    <w:uiPriority w:val="9"/>
    <w:semiHidden/>
    <w:rsid w:val="002C5339"/>
    <w:rPr>
      <w:rFonts w:cstheme="majorBidi"/>
      <w:b/>
      <w:bCs/>
      <w:color w:val="0F4761" w:themeColor="accent1" w:themeShade="BF"/>
    </w:rPr>
  </w:style>
  <w:style w:type="character" w:customStyle="1" w:styleId="70">
    <w:name w:val="标题 7 字符"/>
    <w:basedOn w:val="a0"/>
    <w:link w:val="7"/>
    <w:uiPriority w:val="9"/>
    <w:semiHidden/>
    <w:rsid w:val="002C5339"/>
    <w:rPr>
      <w:rFonts w:cstheme="majorBidi"/>
      <w:b/>
      <w:bCs/>
      <w:color w:val="595959" w:themeColor="text1" w:themeTint="A6"/>
    </w:rPr>
  </w:style>
  <w:style w:type="character" w:customStyle="1" w:styleId="80">
    <w:name w:val="标题 8 字符"/>
    <w:basedOn w:val="a0"/>
    <w:link w:val="8"/>
    <w:uiPriority w:val="9"/>
    <w:semiHidden/>
    <w:rsid w:val="002C5339"/>
    <w:rPr>
      <w:rFonts w:cstheme="majorBidi"/>
      <w:color w:val="595959" w:themeColor="text1" w:themeTint="A6"/>
    </w:rPr>
  </w:style>
  <w:style w:type="character" w:customStyle="1" w:styleId="90">
    <w:name w:val="标题 9 字符"/>
    <w:basedOn w:val="a0"/>
    <w:link w:val="9"/>
    <w:uiPriority w:val="9"/>
    <w:semiHidden/>
    <w:rsid w:val="002C5339"/>
    <w:rPr>
      <w:rFonts w:eastAsiaTheme="majorEastAsia" w:cstheme="majorBidi"/>
      <w:color w:val="595959" w:themeColor="text1" w:themeTint="A6"/>
    </w:rPr>
  </w:style>
  <w:style w:type="paragraph" w:styleId="a3">
    <w:name w:val="Title"/>
    <w:basedOn w:val="a"/>
    <w:next w:val="a"/>
    <w:link w:val="a4"/>
    <w:uiPriority w:val="10"/>
    <w:qFormat/>
    <w:rsid w:val="002C533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2C5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33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2C5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339"/>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2C5339"/>
    <w:rPr>
      <w:i/>
      <w:iCs/>
      <w:color w:val="404040" w:themeColor="text1" w:themeTint="BF"/>
    </w:rPr>
  </w:style>
  <w:style w:type="paragraph" w:styleId="a9">
    <w:name w:val="List Paragraph"/>
    <w:basedOn w:val="a"/>
    <w:uiPriority w:val="34"/>
    <w:qFormat/>
    <w:rsid w:val="002C5339"/>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2C5339"/>
    <w:rPr>
      <w:i/>
      <w:iCs/>
      <w:color w:val="0F4761" w:themeColor="accent1" w:themeShade="BF"/>
    </w:rPr>
  </w:style>
  <w:style w:type="paragraph" w:styleId="ab">
    <w:name w:val="Intense Quote"/>
    <w:basedOn w:val="a"/>
    <w:next w:val="a"/>
    <w:link w:val="ac"/>
    <w:uiPriority w:val="30"/>
    <w:qFormat/>
    <w:rsid w:val="002C533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2C5339"/>
    <w:rPr>
      <w:i/>
      <w:iCs/>
      <w:color w:val="0F4761" w:themeColor="accent1" w:themeShade="BF"/>
    </w:rPr>
  </w:style>
  <w:style w:type="character" w:styleId="ad">
    <w:name w:val="Intense Reference"/>
    <w:basedOn w:val="a0"/>
    <w:uiPriority w:val="32"/>
    <w:qFormat/>
    <w:rsid w:val="002C5339"/>
    <w:rPr>
      <w:b/>
      <w:bCs/>
      <w:smallCaps/>
      <w:color w:val="0F4761" w:themeColor="accent1" w:themeShade="BF"/>
      <w:spacing w:val="5"/>
    </w:rPr>
  </w:style>
  <w:style w:type="paragraph" w:styleId="ae">
    <w:name w:val="header"/>
    <w:basedOn w:val="a"/>
    <w:link w:val="af"/>
    <w:uiPriority w:val="99"/>
    <w:unhideWhenUsed/>
    <w:rsid w:val="00826575"/>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826575"/>
    <w:rPr>
      <w:sz w:val="18"/>
      <w:szCs w:val="18"/>
    </w:rPr>
  </w:style>
  <w:style w:type="paragraph" w:styleId="af0">
    <w:name w:val="footer"/>
    <w:basedOn w:val="a"/>
    <w:link w:val="af1"/>
    <w:uiPriority w:val="99"/>
    <w:unhideWhenUsed/>
    <w:rsid w:val="00826575"/>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8265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苗</dc:creator>
  <cp:keywords/>
  <dc:description/>
  <cp:lastModifiedBy>李  苗</cp:lastModifiedBy>
  <cp:revision>2</cp:revision>
  <dcterms:created xsi:type="dcterms:W3CDTF">2025-07-08T08:27:00Z</dcterms:created>
  <dcterms:modified xsi:type="dcterms:W3CDTF">2025-07-08T08:27:00Z</dcterms:modified>
</cp:coreProperties>
</file>