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rPr>
          <w:rFonts w:ascii="Times New Roman" w:hAnsi="Times New Roman" w:eastAsia="黑体"/>
          <w:color w:val="000000"/>
          <w:sz w:val="32"/>
          <w:szCs w:val="32"/>
        </w:rPr>
      </w:pPr>
      <w:r>
        <w:rPr>
          <w:rFonts w:ascii="Times New Roman" w:hAnsi="Times New Roman" w:eastAsia="黑体"/>
          <w:color w:val="000000"/>
          <w:sz w:val="32"/>
          <w:szCs w:val="32"/>
        </w:rPr>
        <w:t>附件1</w:t>
      </w:r>
    </w:p>
    <w:p>
      <w:pPr>
        <w:spacing w:after="156" w:afterLines="50" w:line="360" w:lineRule="auto"/>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全国星级基层水产技术推广机构评价指标体系</w:t>
      </w:r>
    </w:p>
    <w:tbl>
      <w:tblPr>
        <w:tblStyle w:val="5"/>
        <w:tblW w:w="7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81" w:type="dxa"/>
            <w:shd w:val="clear" w:color="auto" w:fill="auto"/>
            <w:vAlign w:val="center"/>
          </w:tcPr>
          <w:p>
            <w:pPr>
              <w:ind w:left="-107" w:leftChars="-51"/>
              <w:jc w:val="center"/>
              <w:rPr>
                <w:rFonts w:ascii="Times New Roman" w:hAnsi="Times New Roman"/>
                <w:b/>
                <w:bCs/>
                <w:color w:val="000000"/>
              </w:rPr>
            </w:pPr>
            <w:r>
              <w:rPr>
                <w:rFonts w:ascii="Times New Roman" w:hAnsi="Times New Roman"/>
                <w:b/>
                <w:bCs/>
                <w:color w:val="000000"/>
              </w:rPr>
              <w:t>指标类别</w:t>
            </w:r>
          </w:p>
        </w:tc>
        <w:tc>
          <w:tcPr>
            <w:tcW w:w="6370" w:type="dxa"/>
            <w:shd w:val="clear" w:color="auto" w:fill="auto"/>
            <w:vAlign w:val="center"/>
          </w:tcPr>
          <w:p>
            <w:pPr>
              <w:jc w:val="center"/>
              <w:rPr>
                <w:rFonts w:ascii="Times New Roman" w:hAnsi="Times New Roman"/>
                <w:b/>
                <w:bCs/>
                <w:color w:val="000000"/>
              </w:rPr>
            </w:pPr>
            <w:r>
              <w:rPr>
                <w:rFonts w:ascii="Times New Roman" w:hAnsi="Times New Roman"/>
                <w:b/>
                <w:bCs/>
                <w:color w:val="000000"/>
              </w:rPr>
              <w:t>遴选内容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081" w:type="dxa"/>
            <w:shd w:val="clear" w:color="auto" w:fill="auto"/>
            <w:vAlign w:val="center"/>
          </w:tcPr>
          <w:p>
            <w:pPr>
              <w:ind w:left="-107" w:leftChars="-51"/>
              <w:jc w:val="center"/>
              <w:rPr>
                <w:rFonts w:ascii="Times New Roman" w:hAnsi="Times New Roman"/>
                <w:b/>
                <w:bCs/>
                <w:color w:val="000000"/>
                <w:szCs w:val="21"/>
              </w:rPr>
            </w:pPr>
            <w:r>
              <w:rPr>
                <w:rFonts w:ascii="Times New Roman" w:hAnsi="Times New Roman"/>
                <w:b/>
                <w:bCs/>
                <w:color w:val="000000"/>
                <w:szCs w:val="21"/>
              </w:rPr>
              <w:t>机构</w:t>
            </w:r>
          </w:p>
          <w:p>
            <w:pPr>
              <w:ind w:left="-107" w:leftChars="-51"/>
              <w:jc w:val="center"/>
              <w:rPr>
                <w:rFonts w:ascii="Times New Roman" w:hAnsi="Times New Roman"/>
                <w:b/>
                <w:bCs/>
                <w:color w:val="000000"/>
                <w:szCs w:val="21"/>
              </w:rPr>
            </w:pPr>
            <w:r>
              <w:rPr>
                <w:rFonts w:ascii="Times New Roman" w:hAnsi="Times New Roman"/>
                <w:b/>
                <w:bCs/>
                <w:color w:val="000000"/>
                <w:szCs w:val="21"/>
              </w:rPr>
              <w:t>建设</w:t>
            </w:r>
          </w:p>
        </w:tc>
        <w:tc>
          <w:tcPr>
            <w:tcW w:w="6370" w:type="dxa"/>
            <w:shd w:val="clear" w:color="auto" w:fill="auto"/>
            <w:vAlign w:val="center"/>
          </w:tcPr>
          <w:p>
            <w:pPr>
              <w:jc w:val="left"/>
              <w:rPr>
                <w:rFonts w:ascii="Times New Roman" w:hAnsi="Times New Roman"/>
                <w:color w:val="000000"/>
                <w:szCs w:val="21"/>
              </w:rPr>
            </w:pPr>
            <w:r>
              <w:rPr>
                <w:rFonts w:ascii="Times New Roman" w:hAnsi="Times New Roman"/>
                <w:color w:val="000000"/>
                <w:szCs w:val="21"/>
              </w:rPr>
              <w:t>机构名称要规范，在中国农技推广信息服务平台上实名注册。具备法人资格（无独立事业单位法人资格的区域站或乡镇站可提供上级机构法人资格证明）。有固定的办公场所。办公、培训、检验检测仪器设备配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081" w:type="dxa"/>
            <w:shd w:val="clear" w:color="auto" w:fill="auto"/>
            <w:vAlign w:val="center"/>
          </w:tcPr>
          <w:p>
            <w:pPr>
              <w:ind w:left="-107" w:leftChars="-51"/>
              <w:jc w:val="center"/>
              <w:rPr>
                <w:rFonts w:ascii="Times New Roman" w:hAnsi="Times New Roman"/>
                <w:b/>
                <w:bCs/>
                <w:color w:val="000000"/>
                <w:szCs w:val="21"/>
              </w:rPr>
            </w:pPr>
            <w:r>
              <w:rPr>
                <w:rFonts w:ascii="Times New Roman" w:hAnsi="Times New Roman"/>
                <w:b/>
                <w:bCs/>
                <w:color w:val="000000"/>
                <w:szCs w:val="21"/>
              </w:rPr>
              <w:t>队伍</w:t>
            </w:r>
          </w:p>
          <w:p>
            <w:pPr>
              <w:ind w:left="-107" w:leftChars="-51"/>
              <w:jc w:val="center"/>
              <w:rPr>
                <w:rFonts w:ascii="Times New Roman" w:hAnsi="Times New Roman"/>
                <w:b/>
                <w:bCs/>
                <w:color w:val="000000"/>
                <w:szCs w:val="21"/>
              </w:rPr>
            </w:pPr>
            <w:r>
              <w:rPr>
                <w:rFonts w:ascii="Times New Roman" w:hAnsi="Times New Roman"/>
                <w:b/>
                <w:bCs/>
                <w:color w:val="000000"/>
                <w:szCs w:val="21"/>
              </w:rPr>
              <w:t>建设</w:t>
            </w:r>
          </w:p>
        </w:tc>
        <w:tc>
          <w:tcPr>
            <w:tcW w:w="6370" w:type="dxa"/>
            <w:shd w:val="clear" w:color="auto" w:fill="auto"/>
            <w:vAlign w:val="center"/>
          </w:tcPr>
          <w:p>
            <w:pPr>
              <w:jc w:val="left"/>
              <w:rPr>
                <w:rFonts w:ascii="Times New Roman" w:hAnsi="Times New Roman"/>
                <w:color w:val="000000"/>
                <w:szCs w:val="21"/>
              </w:rPr>
            </w:pPr>
            <w:r>
              <w:rPr>
                <w:rFonts w:ascii="Times New Roman" w:hAnsi="Times New Roman"/>
                <w:color w:val="000000"/>
                <w:szCs w:val="21"/>
              </w:rPr>
              <w:t>机构负责人政治素质高，业务能力强。在编人员全部在岗，建立人员聘用和岗位责任制度。技术人员学历在大专以上。定期开展业务培训。三分之一以上在编技术骨干人员每年接受连续不少于5天业务培训。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081" w:type="dxa"/>
            <w:shd w:val="clear" w:color="auto" w:fill="auto"/>
            <w:vAlign w:val="center"/>
          </w:tcPr>
          <w:p>
            <w:pPr>
              <w:ind w:left="-107" w:leftChars="-51"/>
              <w:jc w:val="center"/>
              <w:rPr>
                <w:rFonts w:ascii="Times New Roman" w:hAnsi="Times New Roman"/>
                <w:b/>
                <w:bCs/>
                <w:color w:val="000000"/>
                <w:szCs w:val="21"/>
              </w:rPr>
            </w:pPr>
            <w:r>
              <w:rPr>
                <w:rFonts w:ascii="Times New Roman" w:hAnsi="Times New Roman"/>
                <w:b/>
                <w:bCs/>
                <w:color w:val="000000"/>
                <w:szCs w:val="21"/>
              </w:rPr>
              <w:t>运行</w:t>
            </w:r>
          </w:p>
          <w:p>
            <w:pPr>
              <w:ind w:left="-107" w:leftChars="-51"/>
              <w:jc w:val="center"/>
              <w:rPr>
                <w:rFonts w:ascii="Times New Roman" w:hAnsi="Times New Roman"/>
                <w:b/>
                <w:bCs/>
                <w:color w:val="000000"/>
                <w:szCs w:val="21"/>
              </w:rPr>
            </w:pPr>
            <w:r>
              <w:rPr>
                <w:rFonts w:ascii="Times New Roman" w:hAnsi="Times New Roman"/>
                <w:b/>
                <w:bCs/>
                <w:color w:val="000000"/>
                <w:szCs w:val="21"/>
              </w:rPr>
              <w:t>管理</w:t>
            </w:r>
          </w:p>
        </w:tc>
        <w:tc>
          <w:tcPr>
            <w:tcW w:w="6370" w:type="dxa"/>
            <w:shd w:val="clear" w:color="auto" w:fill="auto"/>
            <w:vAlign w:val="center"/>
          </w:tcPr>
          <w:p>
            <w:pPr>
              <w:jc w:val="left"/>
              <w:rPr>
                <w:rFonts w:ascii="Times New Roman" w:hAnsi="Times New Roman"/>
                <w:color w:val="000000"/>
                <w:szCs w:val="21"/>
              </w:rPr>
            </w:pPr>
            <w:r>
              <w:rPr>
                <w:rFonts w:ascii="Times New Roman" w:hAnsi="Times New Roman"/>
                <w:szCs w:val="21"/>
              </w:rPr>
              <w:t>有明确的推广工作任务和年度工作计划，制定并实施技术推广责任制度、考评和激励制度。人员工资和“三费”（机构运行经费、业务工作经费、重大技术推广项目经费）有保障。无通报批评，无违法违纪事件，无工作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081" w:type="dxa"/>
            <w:shd w:val="clear" w:color="auto" w:fill="auto"/>
            <w:vAlign w:val="center"/>
          </w:tcPr>
          <w:p>
            <w:pPr>
              <w:ind w:left="-107" w:leftChars="-51"/>
              <w:jc w:val="center"/>
              <w:rPr>
                <w:rFonts w:ascii="Times New Roman" w:hAnsi="Times New Roman"/>
                <w:b/>
                <w:bCs/>
                <w:color w:val="000000"/>
                <w:szCs w:val="21"/>
              </w:rPr>
            </w:pPr>
            <w:r>
              <w:rPr>
                <w:rFonts w:ascii="Times New Roman" w:hAnsi="Times New Roman"/>
                <w:b/>
                <w:bCs/>
                <w:color w:val="000000"/>
                <w:szCs w:val="21"/>
              </w:rPr>
              <w:t xml:space="preserve"> 履行</w:t>
            </w:r>
          </w:p>
          <w:p>
            <w:pPr>
              <w:jc w:val="center"/>
              <w:rPr>
                <w:rFonts w:ascii="Times New Roman" w:hAnsi="Times New Roman"/>
                <w:b/>
                <w:bCs/>
                <w:color w:val="000000"/>
                <w:szCs w:val="21"/>
              </w:rPr>
            </w:pPr>
            <w:r>
              <w:rPr>
                <w:rFonts w:ascii="Times New Roman" w:hAnsi="Times New Roman"/>
                <w:b/>
                <w:bCs/>
                <w:color w:val="000000"/>
                <w:szCs w:val="21"/>
              </w:rPr>
              <w:t>职能</w:t>
            </w:r>
          </w:p>
        </w:tc>
        <w:tc>
          <w:tcPr>
            <w:tcW w:w="6370" w:type="dxa"/>
            <w:shd w:val="clear" w:color="auto" w:fill="auto"/>
            <w:vAlign w:val="center"/>
          </w:tcPr>
          <w:p>
            <w:pPr>
              <w:jc w:val="left"/>
              <w:rPr>
                <w:rFonts w:hint="eastAsia" w:ascii="Times New Roman" w:hAnsi="Times New Roman" w:eastAsiaTheme="minorEastAsia"/>
                <w:color w:val="000000"/>
                <w:szCs w:val="21"/>
                <w:lang w:eastAsia="zh-CN"/>
              </w:rPr>
            </w:pPr>
            <w:r>
              <w:rPr>
                <w:rFonts w:ascii="Times New Roman" w:hAnsi="Times New Roman"/>
                <w:szCs w:val="21"/>
              </w:rPr>
              <w:t>具有开展新品种、新技术、新装备试验示范的工作条件。积极培育科技示范户，组织开展先进技术试验示范工作。开展水产品质量检验、检测、监测，采集上报信息及时准确。承担有关部门、科研单位等组织的水产科技成果转化、技术推广、重大技术试验示范推广等项目。定期组织开展水产先进技术和实</w:t>
            </w:r>
            <w:r>
              <w:rPr>
                <w:rFonts w:hint="eastAsia" w:ascii="Times New Roman" w:hAnsi="Times New Roman"/>
                <w:szCs w:val="21"/>
                <w:lang w:eastAsia="zh-CN"/>
              </w:rPr>
              <w:t>用技能培训。使用中国农技推广</w:t>
            </w:r>
            <w:r>
              <w:rPr>
                <w:rFonts w:ascii="Times New Roman" w:hAnsi="Times New Roman"/>
                <w:szCs w:val="21"/>
              </w:rPr>
              <w:t>APP开展服务。</w:t>
            </w:r>
            <w:r>
              <w:rPr>
                <w:rFonts w:hint="eastAsia" w:ascii="Times New Roman" w:hAnsi="Times New Roman"/>
                <w:szCs w:val="21"/>
                <w:lang w:eastAsia="zh-CN"/>
              </w:rPr>
              <w:t>积极培养乡村振兴人才，掌握农村实用人才需求和技能培训愿望。</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081" w:type="dxa"/>
            <w:shd w:val="clear" w:color="auto" w:fill="auto"/>
            <w:vAlign w:val="center"/>
          </w:tcPr>
          <w:p>
            <w:pPr>
              <w:ind w:left="-107" w:leftChars="-51"/>
              <w:jc w:val="center"/>
              <w:rPr>
                <w:rFonts w:ascii="Times New Roman" w:hAnsi="Times New Roman"/>
                <w:b/>
                <w:bCs/>
                <w:color w:val="000000"/>
                <w:szCs w:val="21"/>
              </w:rPr>
            </w:pPr>
            <w:r>
              <w:rPr>
                <w:rFonts w:ascii="Times New Roman" w:hAnsi="Times New Roman"/>
                <w:b/>
                <w:bCs/>
                <w:color w:val="000000"/>
                <w:szCs w:val="21"/>
              </w:rPr>
              <w:t>服务</w:t>
            </w:r>
          </w:p>
          <w:p>
            <w:pPr>
              <w:ind w:left="-107" w:leftChars="-51"/>
              <w:jc w:val="center"/>
              <w:rPr>
                <w:rFonts w:ascii="Times New Roman" w:hAnsi="Times New Roman"/>
                <w:b/>
                <w:bCs/>
                <w:color w:val="000000"/>
                <w:szCs w:val="21"/>
              </w:rPr>
            </w:pPr>
            <w:r>
              <w:rPr>
                <w:rFonts w:ascii="Times New Roman" w:hAnsi="Times New Roman"/>
                <w:b/>
                <w:bCs/>
                <w:color w:val="000000"/>
                <w:szCs w:val="21"/>
              </w:rPr>
              <w:t>效能</w:t>
            </w:r>
          </w:p>
        </w:tc>
        <w:tc>
          <w:tcPr>
            <w:tcW w:w="6370" w:type="dxa"/>
            <w:shd w:val="clear" w:color="auto" w:fill="auto"/>
            <w:vAlign w:val="center"/>
          </w:tcPr>
          <w:p>
            <w:pPr>
              <w:jc w:val="left"/>
              <w:rPr>
                <w:rFonts w:ascii="Times New Roman" w:hAnsi="Times New Roman"/>
                <w:color w:val="000000"/>
                <w:szCs w:val="21"/>
              </w:rPr>
            </w:pPr>
            <w:r>
              <w:rPr>
                <w:rFonts w:ascii="Times New Roman" w:hAnsi="Times New Roman"/>
                <w:szCs w:val="21"/>
              </w:rPr>
              <w:t>年度考核达标。近3年来单位或技术人员获得上级表彰奖励（含科技类）。在主流媒体或相关信息网站等新媒体平台有宣传报道。随机抽查示范主体、普通渔农户、涉渔业企业等服务对象的满意度达到90%以上。</w:t>
            </w:r>
          </w:p>
        </w:tc>
      </w:tr>
    </w:tbl>
    <w:p>
      <w:pPr>
        <w:rPr>
          <w:rFonts w:ascii="Times New Roman" w:hAnsi="Times New Roman" w:eastAsia="仿宋_GB2312"/>
          <w:color w:val="FF000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D5"/>
    <w:rsid w:val="000C4A7F"/>
    <w:rsid w:val="003463D5"/>
    <w:rsid w:val="00533576"/>
    <w:rsid w:val="005948A2"/>
    <w:rsid w:val="00811695"/>
    <w:rsid w:val="00856EB2"/>
    <w:rsid w:val="00914E0C"/>
    <w:rsid w:val="00AC3CC5"/>
    <w:rsid w:val="00C13F5B"/>
    <w:rsid w:val="00E85331"/>
    <w:rsid w:val="00F234DC"/>
    <w:rsid w:val="425E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525</Characters>
  <Lines>4</Lines>
  <Paragraphs>1</Paragraphs>
  <TotalTime>54</TotalTime>
  <ScaleCrop>false</ScaleCrop>
  <LinksUpToDate>false</LinksUpToDate>
  <CharactersWithSpaces>615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2021-06-29T11:24:00Z</dcterms:created>
  <dc:creator>Administrator</dc:creator>
  <cp:lastModifiedBy>nyncbuser</cp:lastModifiedBy>
  <dcterms:modified xsi:type="dcterms:W3CDTF">2023-03-29T16:41:38Z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