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80" w:lineRule="auto"/>
        <w:rPr>
          <w:rFonts w:ascii="黑体" w:hAnsi="黑体" w:eastAsia="黑体"/>
          <w:bCs/>
          <w:sz w:val="32"/>
          <w:szCs w:val="32"/>
        </w:rPr>
      </w:pPr>
      <w:bookmarkStart w:id="12" w:name="_GoBack"/>
      <w:bookmarkEnd w:id="12"/>
      <w:r>
        <w:rPr>
          <w:rFonts w:ascii="黑体" w:hAnsi="黑体" w:eastAsia="黑体"/>
          <w:bCs/>
          <w:sz w:val="32"/>
          <w:szCs w:val="32"/>
        </w:rPr>
        <w:t>附件</w:t>
      </w:r>
    </w:p>
    <w:p>
      <w:pPr>
        <w:shd w:val="clear" w:color="auto" w:fill="FFFFFF"/>
        <w:spacing w:line="620" w:lineRule="exact"/>
        <w:jc w:val="center"/>
        <w:rPr>
          <w:rFonts w:ascii="Times New Roman" w:hAnsi="Times New Roman" w:eastAsia="方正小标宋简体"/>
          <w:bCs/>
          <w:sz w:val="36"/>
          <w:szCs w:val="36"/>
        </w:rPr>
      </w:pPr>
      <w:r>
        <w:rPr>
          <w:rFonts w:hint="default" w:ascii="Times New Roman" w:hAnsi="Times New Roman" w:eastAsia="方正小标宋简体"/>
          <w:bCs/>
          <w:sz w:val="36"/>
          <w:szCs w:val="36"/>
        </w:rPr>
        <w:t>202</w:t>
      </w:r>
      <w:r>
        <w:rPr>
          <w:rFonts w:ascii="Times New Roman" w:hAnsi="Times New Roman" w:eastAsia="方正小标宋简体"/>
          <w:bCs/>
          <w:sz w:val="36"/>
          <w:szCs w:val="36"/>
        </w:rPr>
        <w:t>3</w:t>
      </w:r>
      <w:r>
        <w:rPr>
          <w:rFonts w:hint="default" w:ascii="Times New Roman" w:hAnsi="Times New Roman" w:eastAsia="方正小标宋简体"/>
          <w:bCs/>
          <w:sz w:val="36"/>
          <w:szCs w:val="36"/>
        </w:rPr>
        <w:t>年国家水生动物疫病监测计划实施方案</w:t>
      </w:r>
    </w:p>
    <w:p>
      <w:pPr>
        <w:shd w:val="clear" w:color="auto" w:fill="FFFFFF"/>
        <w:spacing w:line="480" w:lineRule="auto"/>
        <w:ind w:firstLine="640" w:firstLineChars="200"/>
        <w:rPr>
          <w:rFonts w:ascii="Times New Roman" w:hAnsi="Times New Roman" w:eastAsia="仿宋_GB2312"/>
          <w:bCs/>
          <w:sz w:val="32"/>
          <w:szCs w:val="32"/>
        </w:rPr>
      </w:pPr>
    </w:p>
    <w:p>
      <w:pPr>
        <w:shd w:val="clear" w:color="auto" w:fill="FFFFFF"/>
        <w:spacing w:line="480" w:lineRule="auto"/>
        <w:ind w:firstLine="640" w:firstLineChars="200"/>
        <w:rPr>
          <w:rFonts w:ascii="Times New Roman" w:hAnsi="Times New Roman" w:eastAsia="仿宋_GB2312"/>
          <w:bCs/>
          <w:sz w:val="32"/>
          <w:szCs w:val="32"/>
        </w:rPr>
      </w:pPr>
      <w:r>
        <w:rPr>
          <w:rFonts w:hint="default" w:ascii="Times New Roman" w:hAnsi="Times New Roman" w:eastAsia="仿宋_GB2312"/>
          <w:bCs/>
          <w:sz w:val="32"/>
          <w:szCs w:val="32"/>
        </w:rPr>
        <w:t>《2</w:t>
      </w:r>
      <w:r>
        <w:rPr>
          <w:rFonts w:ascii="Times New Roman" w:hAnsi="Times New Roman" w:eastAsia="仿宋_GB2312"/>
          <w:bCs/>
          <w:sz w:val="32"/>
          <w:szCs w:val="32"/>
        </w:rPr>
        <w:t>023年国家水生动物疫病监测计划</w:t>
      </w:r>
      <w:r>
        <w:rPr>
          <w:rFonts w:hint="default" w:ascii="Times New Roman" w:hAnsi="Times New Roman" w:eastAsia="仿宋_GB2312"/>
          <w:bCs/>
          <w:sz w:val="32"/>
          <w:szCs w:val="32"/>
        </w:rPr>
        <w:t>》（以下称《国家监测计划》）下达了对1</w:t>
      </w:r>
      <w:r>
        <w:rPr>
          <w:rFonts w:ascii="Times New Roman" w:hAnsi="Times New Roman" w:eastAsia="仿宋_GB2312"/>
          <w:bCs/>
          <w:sz w:val="32"/>
          <w:szCs w:val="32"/>
        </w:rPr>
        <w:t>1种水生动物疫病进行专项监测</w:t>
      </w:r>
      <w:r>
        <w:rPr>
          <w:rFonts w:hint="default" w:ascii="Times New Roman" w:hAnsi="Times New Roman" w:eastAsia="仿宋_GB2312"/>
          <w:bCs/>
          <w:sz w:val="32"/>
          <w:szCs w:val="32"/>
        </w:rPr>
        <w:t>（以下称“专项监测”）的任务，并要求继续开展水产养殖动植物疾病测报（以下称“疾病测报”）</w:t>
      </w:r>
      <w:r>
        <w:rPr>
          <w:rFonts w:hint="eastAsia" w:ascii="Times New Roman" w:hAnsi="Times New Roman" w:eastAsia="仿宋_GB2312"/>
          <w:bCs/>
          <w:sz w:val="32"/>
          <w:szCs w:val="32"/>
        </w:rPr>
        <w:t>工作</w:t>
      </w:r>
      <w:r>
        <w:rPr>
          <w:rFonts w:hint="default" w:ascii="Times New Roman" w:hAnsi="Times New Roman" w:eastAsia="仿宋_GB2312"/>
          <w:bCs/>
          <w:sz w:val="32"/>
          <w:szCs w:val="32"/>
        </w:rPr>
        <w:t>。为确保专项监测和疾病测报工作顺利开展，现制定如下实施方案。</w:t>
      </w:r>
    </w:p>
    <w:p>
      <w:pPr>
        <w:shd w:val="clear" w:color="auto" w:fill="FFFFFF"/>
        <w:spacing w:line="480" w:lineRule="auto"/>
        <w:ind w:firstLine="640" w:firstLineChars="200"/>
        <w:rPr>
          <w:rFonts w:ascii="Times New Roman" w:hAnsi="Times New Roman" w:eastAsia="黑体"/>
          <w:bCs/>
          <w:sz w:val="32"/>
          <w:szCs w:val="32"/>
        </w:rPr>
      </w:pPr>
      <w:r>
        <w:rPr>
          <w:rFonts w:ascii="Times New Roman" w:hAnsi="Times New Roman" w:eastAsia="黑体"/>
          <w:bCs/>
          <w:sz w:val="32"/>
          <w:szCs w:val="32"/>
        </w:rPr>
        <w:t>一</w:t>
      </w:r>
      <w:r>
        <w:rPr>
          <w:rFonts w:hint="default" w:ascii="Times New Roman" w:hAnsi="Times New Roman" w:eastAsia="黑体"/>
          <w:bCs/>
          <w:sz w:val="32"/>
          <w:szCs w:val="32"/>
        </w:rPr>
        <w:t>、</w:t>
      </w:r>
      <w:r>
        <w:rPr>
          <w:rFonts w:ascii="Times New Roman" w:hAnsi="Times New Roman" w:eastAsia="黑体"/>
          <w:bCs/>
          <w:sz w:val="32"/>
          <w:szCs w:val="32"/>
        </w:rPr>
        <w:t>专项监测</w:t>
      </w:r>
    </w:p>
    <w:p>
      <w:pPr>
        <w:pStyle w:val="22"/>
        <w:ind w:firstLine="640" w:firstLineChars="0"/>
        <w:rPr>
          <w:rFonts w:ascii="Times New Roman" w:hAnsi="Times New Roman" w:eastAsia="仿宋_GB2312"/>
          <w:bCs/>
          <w:sz w:val="32"/>
          <w:szCs w:val="32"/>
        </w:rPr>
      </w:pPr>
      <w:r>
        <w:rPr>
          <w:rFonts w:hint="default" w:ascii="Times New Roman" w:hAnsi="Times New Roman" w:eastAsia="仿宋_GB2312"/>
          <w:bCs/>
          <w:sz w:val="32"/>
          <w:szCs w:val="32"/>
        </w:rPr>
        <w:t>专项监测是对近年</w:t>
      </w:r>
      <w:r>
        <w:rPr>
          <w:rFonts w:hint="eastAsia" w:ascii="Times New Roman" w:hAnsi="Times New Roman" w:eastAsia="仿宋_GB2312"/>
          <w:bCs/>
          <w:sz w:val="32"/>
          <w:szCs w:val="32"/>
        </w:rPr>
        <w:t>来</w:t>
      </w:r>
      <w:r>
        <w:rPr>
          <w:rFonts w:hint="default" w:ascii="Times New Roman" w:hAnsi="Times New Roman" w:eastAsia="仿宋_GB2312"/>
          <w:bCs/>
          <w:sz w:val="32"/>
          <w:szCs w:val="32"/>
        </w:rPr>
        <w:t>传染性强、发病率高、对我国水产养殖业影响较大的水生动物重要疫病进行实验室检测，准确掌握重要疫病病原的发生、分布和流行情况，及时进行预防控制，避免疫病扩散的</w:t>
      </w:r>
      <w:r>
        <w:rPr>
          <w:rFonts w:hint="eastAsia" w:ascii="Times New Roman" w:hAnsi="Times New Roman" w:eastAsia="仿宋_GB2312"/>
          <w:bCs/>
          <w:sz w:val="32"/>
          <w:szCs w:val="32"/>
        </w:rPr>
        <w:t>重要</w:t>
      </w:r>
      <w:r>
        <w:rPr>
          <w:rFonts w:hint="default" w:ascii="Times New Roman" w:hAnsi="Times New Roman" w:eastAsia="仿宋_GB2312"/>
          <w:bCs/>
          <w:sz w:val="32"/>
          <w:szCs w:val="32"/>
        </w:rPr>
        <w:t>措施。</w:t>
      </w:r>
    </w:p>
    <w:p>
      <w:pPr>
        <w:ind w:firstLine="643" w:firstLineChars="200"/>
        <w:rPr>
          <w:rFonts w:ascii="Times New Roman" w:hAnsi="Times New Roman" w:eastAsia="楷体"/>
          <w:b/>
          <w:sz w:val="32"/>
          <w:szCs w:val="32"/>
        </w:rPr>
      </w:pPr>
      <w:r>
        <w:rPr>
          <w:rFonts w:hint="default" w:ascii="Times New Roman" w:hAnsi="Times New Roman" w:eastAsia="楷体"/>
          <w:b/>
          <w:bCs/>
          <w:sz w:val="32"/>
          <w:szCs w:val="32"/>
        </w:rPr>
        <w:t>（一）</w:t>
      </w:r>
      <w:r>
        <w:rPr>
          <w:rFonts w:hint="default" w:ascii="Times New Roman" w:hAnsi="Times New Roman" w:eastAsia="楷体"/>
          <w:b/>
          <w:sz w:val="32"/>
          <w:szCs w:val="32"/>
        </w:rPr>
        <w:t>监测点设置</w:t>
      </w:r>
    </w:p>
    <w:p>
      <w:pPr>
        <w:pStyle w:val="22"/>
        <w:ind w:firstLine="640" w:firstLineChars="0"/>
        <w:rPr>
          <w:rFonts w:ascii="Times New Roman" w:hAnsi="Times New Roman" w:eastAsia="仿宋_GB2312"/>
          <w:bCs/>
          <w:sz w:val="32"/>
          <w:szCs w:val="32"/>
        </w:rPr>
      </w:pPr>
      <w:bookmarkStart w:id="0" w:name="OLE_LINK2"/>
      <w:bookmarkStart w:id="1" w:name="OLE_LINK1"/>
      <w:r>
        <w:rPr>
          <w:rFonts w:hint="default" w:ascii="Times New Roman" w:hAnsi="Times New Roman" w:eastAsia="仿宋_GB2312"/>
          <w:sz w:val="32"/>
          <w:szCs w:val="32"/>
        </w:rPr>
        <w:t>各省级水生动物疫病预防控制（水产技术推广）机构（</w:t>
      </w:r>
      <w:r>
        <w:rPr>
          <w:rFonts w:hint="default" w:ascii="Times New Roman" w:hAnsi="Times New Roman" w:eastAsia="仿宋_GB2312"/>
          <w:bCs/>
          <w:sz w:val="32"/>
          <w:szCs w:val="32"/>
        </w:rPr>
        <w:t>以下称“水生动物疫控机构”）</w:t>
      </w:r>
      <w:bookmarkEnd w:id="0"/>
      <w:bookmarkEnd w:id="1"/>
      <w:r>
        <w:rPr>
          <w:rFonts w:hint="default" w:ascii="Times New Roman" w:hAnsi="Times New Roman" w:eastAsia="仿宋_GB2312"/>
          <w:bCs/>
          <w:sz w:val="32"/>
          <w:szCs w:val="32"/>
        </w:rPr>
        <w:t>要统筹考虑《国家监测计划》和省级监测计划，</w:t>
      </w:r>
      <w:r>
        <w:rPr>
          <w:rFonts w:hint="eastAsia" w:ascii="Times New Roman" w:hAnsi="Times New Roman" w:eastAsia="仿宋_GB2312"/>
          <w:bCs/>
          <w:sz w:val="32"/>
          <w:szCs w:val="32"/>
        </w:rPr>
        <w:t>结合</w:t>
      </w:r>
      <w:r>
        <w:rPr>
          <w:rFonts w:ascii="Times New Roman" w:hAnsi="Times New Roman" w:eastAsia="仿宋_GB2312"/>
          <w:bCs/>
          <w:sz w:val="32"/>
          <w:szCs w:val="32"/>
        </w:rPr>
        <w:t>本</w:t>
      </w:r>
      <w:r>
        <w:rPr>
          <w:rFonts w:hint="eastAsia" w:ascii="Times New Roman" w:hAnsi="Times New Roman" w:eastAsia="仿宋_GB2312"/>
          <w:bCs/>
          <w:sz w:val="32"/>
          <w:szCs w:val="32"/>
        </w:rPr>
        <w:t>行政区域</w:t>
      </w:r>
      <w:r>
        <w:rPr>
          <w:rFonts w:ascii="Times New Roman" w:hAnsi="Times New Roman" w:eastAsia="仿宋_GB2312"/>
          <w:bCs/>
          <w:sz w:val="32"/>
          <w:szCs w:val="32"/>
        </w:rPr>
        <w:t>水产养殖特点，科学制定监测方案，经省级渔业主管部门审核后上传至</w:t>
      </w:r>
      <w:r>
        <w:rPr>
          <w:rFonts w:hint="default" w:ascii="Times New Roman" w:hAnsi="Times New Roman" w:eastAsia="仿宋_GB2312"/>
          <w:bCs/>
          <w:sz w:val="32"/>
          <w:szCs w:val="32"/>
        </w:rPr>
        <w:t>“智能渔技综合信息服务平台——</w:t>
      </w:r>
      <w:r>
        <w:rPr>
          <w:rFonts w:ascii="Times New Roman" w:hAnsi="Times New Roman" w:eastAsia="仿宋_GB2312"/>
          <w:bCs/>
          <w:sz w:val="32"/>
          <w:szCs w:val="32"/>
        </w:rPr>
        <w:t>国家水生动物疫病监测信息管理系统</w:t>
      </w:r>
      <w:r>
        <w:rPr>
          <w:rFonts w:hint="default" w:ascii="Times New Roman" w:hAnsi="Times New Roman" w:eastAsia="仿宋_GB2312"/>
          <w:bCs/>
          <w:sz w:val="32"/>
          <w:szCs w:val="32"/>
        </w:rPr>
        <w:t>”</w:t>
      </w:r>
      <w:r>
        <w:rPr>
          <w:rFonts w:ascii="Times New Roman" w:hAnsi="Times New Roman" w:eastAsia="仿宋_GB2312"/>
          <w:bCs/>
          <w:sz w:val="32"/>
          <w:szCs w:val="32"/>
        </w:rPr>
        <w:t>（以下称“国家监测系统”）。要认真核对“</w:t>
      </w:r>
      <w:r>
        <w:rPr>
          <w:rFonts w:ascii="Times New Roman" w:hAnsi="Times New Roman" w:eastAsia="仿宋_GB2312"/>
          <w:sz w:val="32"/>
          <w:szCs w:val="32"/>
        </w:rPr>
        <w:t>国家监测系统”</w:t>
      </w:r>
      <w:r>
        <w:rPr>
          <w:rFonts w:ascii="Times New Roman" w:hAnsi="Times New Roman" w:eastAsia="仿宋_GB2312"/>
          <w:bCs/>
          <w:sz w:val="32"/>
          <w:szCs w:val="32"/>
        </w:rPr>
        <w:t>的监测点信息，确保监测数据科学有效。各计划单列市</w:t>
      </w:r>
      <w:r>
        <w:rPr>
          <w:rFonts w:hint="default" w:ascii="Times New Roman" w:hAnsi="Times New Roman" w:eastAsia="仿宋_GB2312"/>
          <w:sz w:val="32"/>
          <w:szCs w:val="32"/>
        </w:rPr>
        <w:t>水生动物疫控机构</w:t>
      </w:r>
      <w:r>
        <w:rPr>
          <w:rFonts w:ascii="Times New Roman" w:hAnsi="Times New Roman" w:eastAsia="仿宋_GB2312"/>
          <w:bCs/>
          <w:sz w:val="32"/>
          <w:szCs w:val="32"/>
        </w:rPr>
        <w:t>要根据本省监测方案</w:t>
      </w:r>
      <w:r>
        <w:rPr>
          <w:rFonts w:hint="default" w:ascii="Times New Roman" w:hAnsi="Times New Roman" w:eastAsia="仿宋_GB2312"/>
          <w:bCs/>
          <w:sz w:val="32"/>
          <w:szCs w:val="32"/>
        </w:rPr>
        <w:t>安排，配合做好</w:t>
      </w:r>
      <w:r>
        <w:rPr>
          <w:rFonts w:ascii="Times New Roman" w:hAnsi="Times New Roman" w:eastAsia="仿宋_GB2312"/>
          <w:sz w:val="32"/>
          <w:szCs w:val="32"/>
        </w:rPr>
        <w:t>本行政区域监测</w:t>
      </w:r>
      <w:r>
        <w:rPr>
          <w:rFonts w:hint="default" w:ascii="Times New Roman" w:hAnsi="Times New Roman" w:eastAsia="仿宋_GB2312"/>
          <w:sz w:val="32"/>
          <w:szCs w:val="32"/>
        </w:rPr>
        <w:t>工作。</w:t>
      </w:r>
    </w:p>
    <w:p>
      <w:pPr>
        <w:pStyle w:val="22"/>
        <w:ind w:firstLine="640" w:firstLineChars="0"/>
        <w:rPr>
          <w:rFonts w:ascii="Times New Roman" w:hAnsi="Times New Roman" w:eastAsia="楷体"/>
          <w:b/>
          <w:bCs/>
          <w:sz w:val="32"/>
          <w:szCs w:val="32"/>
        </w:rPr>
      </w:pPr>
      <w:r>
        <w:rPr>
          <w:rFonts w:hint="default" w:ascii="Times New Roman" w:hAnsi="Times New Roman" w:eastAsia="楷体"/>
          <w:b/>
          <w:bCs/>
          <w:sz w:val="32"/>
          <w:szCs w:val="32"/>
        </w:rPr>
        <w:t>（</w:t>
      </w:r>
      <w:r>
        <w:rPr>
          <w:rFonts w:ascii="Times New Roman" w:hAnsi="Times New Roman" w:eastAsia="楷体"/>
          <w:b/>
          <w:bCs/>
          <w:sz w:val="32"/>
          <w:szCs w:val="32"/>
        </w:rPr>
        <w:t>二</w:t>
      </w:r>
      <w:r>
        <w:rPr>
          <w:rFonts w:hint="default" w:ascii="Times New Roman" w:hAnsi="Times New Roman" w:eastAsia="楷体"/>
          <w:b/>
          <w:bCs/>
          <w:sz w:val="32"/>
          <w:szCs w:val="32"/>
        </w:rPr>
        <w:t>）</w:t>
      </w:r>
      <w:r>
        <w:rPr>
          <w:rFonts w:ascii="Times New Roman" w:hAnsi="Times New Roman" w:eastAsia="楷体"/>
          <w:b/>
          <w:bCs/>
          <w:sz w:val="32"/>
          <w:szCs w:val="32"/>
        </w:rPr>
        <w:t>样品的采集和检测</w:t>
      </w:r>
    </w:p>
    <w:p>
      <w:pPr>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各检测机构承担样品采样、检测和有关疫病调查任务，</w:t>
      </w:r>
      <w:r>
        <w:rPr>
          <w:rFonts w:ascii="Times New Roman" w:hAnsi="Times New Roman" w:eastAsia="仿宋_GB2312"/>
          <w:sz w:val="32"/>
          <w:szCs w:val="32"/>
        </w:rPr>
        <w:t>要与省级水生动物疫控机构做好沟通和衔接</w:t>
      </w:r>
      <w:r>
        <w:rPr>
          <w:rFonts w:hint="default" w:ascii="Times New Roman" w:hAnsi="Times New Roman" w:eastAsia="仿宋_GB2312"/>
          <w:sz w:val="32"/>
          <w:szCs w:val="32"/>
        </w:rPr>
        <w:t>，</w:t>
      </w:r>
      <w:r>
        <w:rPr>
          <w:rFonts w:ascii="Times New Roman" w:hAnsi="Times New Roman" w:eastAsia="仿宋_GB2312"/>
          <w:sz w:val="32"/>
          <w:szCs w:val="32"/>
        </w:rPr>
        <w:t>并进行现场采样</w:t>
      </w:r>
      <w:r>
        <w:rPr>
          <w:rFonts w:hint="default" w:ascii="Times New Roman" w:hAnsi="Times New Roman" w:eastAsia="仿宋_GB2312"/>
          <w:sz w:val="32"/>
          <w:szCs w:val="32"/>
        </w:rPr>
        <w:t>，</w:t>
      </w:r>
      <w:r>
        <w:rPr>
          <w:rFonts w:ascii="Times New Roman" w:hAnsi="Times New Roman" w:eastAsia="仿宋_GB2312"/>
          <w:sz w:val="32"/>
          <w:szCs w:val="32"/>
        </w:rPr>
        <w:t>按照规定的检测方法进行检测。</w:t>
      </w:r>
      <w:r>
        <w:rPr>
          <w:rFonts w:hint="default" w:ascii="Times New Roman" w:hAnsi="Times New Roman" w:eastAsia="仿宋_GB2312"/>
          <w:sz w:val="32"/>
          <w:szCs w:val="32"/>
        </w:rPr>
        <w:t>对每份样品出具检测报告，对阳性样品进行基因测序，并将检测结果、检测报告扫描版、阳性样品测序结果等及时上传至“国家监测系统”。</w:t>
      </w:r>
      <w:r>
        <w:rPr>
          <w:rFonts w:ascii="Times New Roman" w:hAnsi="Times New Roman" w:eastAsia="仿宋_GB2312"/>
          <w:sz w:val="32"/>
          <w:szCs w:val="32"/>
        </w:rPr>
        <w:t>样品采集、运输和检测请参照附件1-2执行。</w:t>
      </w:r>
    </w:p>
    <w:p>
      <w:pPr>
        <w:pStyle w:val="22"/>
        <w:ind w:firstLine="640"/>
        <w:rPr>
          <w:rFonts w:ascii="Times New Roman" w:hAnsi="Times New Roman" w:eastAsia="仿宋_GB2312"/>
          <w:sz w:val="32"/>
          <w:szCs w:val="32"/>
        </w:rPr>
      </w:pPr>
      <w:r>
        <w:rPr>
          <w:rFonts w:hint="default" w:ascii="Times New Roman" w:hAnsi="Times New Roman" w:eastAsia="仿宋_GB2312"/>
          <w:sz w:val="32"/>
          <w:szCs w:val="32"/>
        </w:rPr>
        <w:t>为全面掌握水生动物疫病发生情况，相关首席专家、参考实验室、科研机构，在做好《国家监测计划》所下达任务的同时，还应做好相关疫病的调查、研究和评估工作。具体工作安排见附件3。</w:t>
      </w:r>
    </w:p>
    <w:p>
      <w:pPr>
        <w:pStyle w:val="22"/>
        <w:ind w:firstLine="643"/>
        <w:rPr>
          <w:rFonts w:ascii="Times New Roman" w:hAnsi="Times New Roman" w:eastAsia="楷体"/>
          <w:b/>
          <w:bCs/>
          <w:sz w:val="32"/>
          <w:szCs w:val="32"/>
        </w:rPr>
      </w:pPr>
      <w:r>
        <w:rPr>
          <w:rFonts w:hint="default" w:ascii="Times New Roman" w:hAnsi="Times New Roman" w:eastAsia="楷体"/>
          <w:b/>
          <w:bCs/>
          <w:sz w:val="32"/>
          <w:szCs w:val="32"/>
        </w:rPr>
        <w:t>（</w:t>
      </w:r>
      <w:r>
        <w:rPr>
          <w:rFonts w:ascii="Times New Roman" w:hAnsi="Times New Roman" w:eastAsia="楷体"/>
          <w:b/>
          <w:bCs/>
          <w:sz w:val="32"/>
          <w:szCs w:val="32"/>
        </w:rPr>
        <w:t>三</w:t>
      </w:r>
      <w:r>
        <w:rPr>
          <w:rFonts w:hint="default" w:ascii="Times New Roman" w:hAnsi="Times New Roman" w:eastAsia="楷体"/>
          <w:b/>
          <w:bCs/>
          <w:sz w:val="32"/>
          <w:szCs w:val="32"/>
        </w:rPr>
        <w:t>）结果处理和</w:t>
      </w:r>
      <w:r>
        <w:rPr>
          <w:rFonts w:ascii="Times New Roman" w:hAnsi="Times New Roman" w:eastAsia="楷体"/>
          <w:b/>
          <w:bCs/>
          <w:sz w:val="32"/>
          <w:szCs w:val="32"/>
        </w:rPr>
        <w:t>风险评估</w:t>
      </w:r>
    </w:p>
    <w:p>
      <w:pPr>
        <w:pStyle w:val="6"/>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各省级</w:t>
      </w:r>
      <w:r>
        <w:rPr>
          <w:rFonts w:hint="default" w:ascii="Times New Roman" w:hAnsi="Times New Roman" w:eastAsia="仿宋_GB2312" w:cs="Times New Roman"/>
          <w:bCs/>
          <w:sz w:val="32"/>
          <w:szCs w:val="32"/>
        </w:rPr>
        <w:t>水生动物疫控机构对出现阳性样品的监测点，要指导其对阳性样品同池（或同区域）的养殖对象进行隔离并限制流通，必要时依法进行扑杀和无害化处理，组织开展病原溯源工作，并及时将阳性养殖场处理信息上传至“国家监测系统”。</w:t>
      </w:r>
    </w:p>
    <w:p>
      <w:pPr>
        <w:pStyle w:val="6"/>
        <w:spacing w:before="0" w:beforeAutospacing="0" w:after="0" w:afterAutospacing="0" w:line="360" w:lineRule="auto"/>
        <w:ind w:firstLine="640" w:firstLineChars="200"/>
        <w:jc w:val="both"/>
        <w:rPr>
          <w:rFonts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水生动物疫病</w:t>
      </w:r>
      <w:r>
        <w:rPr>
          <w:rFonts w:ascii="Times New Roman" w:hAnsi="Times New Roman" w:eastAsia="仿宋_GB2312" w:cs="Times New Roman"/>
          <w:sz w:val="32"/>
          <w:szCs w:val="32"/>
        </w:rPr>
        <w:t>首席专家和参考实验室要</w:t>
      </w:r>
      <w:r>
        <w:rPr>
          <w:rFonts w:ascii="Times New Roman" w:hAnsi="Times New Roman" w:eastAsia="仿宋_GB2312" w:cs="Times New Roman"/>
          <w:sz w:val="32"/>
          <w:szCs w:val="32"/>
          <w:lang w:val="en"/>
        </w:rPr>
        <w:t>及时跟踪国内国际相应疫病动态，结合监测数据进行风险分析和评估，形成相应疫病的风险评估报告。首席专家和参考实验室</w:t>
      </w:r>
      <w:r>
        <w:rPr>
          <w:rFonts w:hint="default" w:ascii="Times New Roman" w:hAnsi="Times New Roman" w:eastAsia="仿宋_GB2312" w:cs="Times New Roman"/>
          <w:sz w:val="32"/>
          <w:szCs w:val="32"/>
          <w:lang w:val="en"/>
        </w:rPr>
        <w:t>名单见附件4。</w:t>
      </w:r>
    </w:p>
    <w:p>
      <w:pPr>
        <w:pStyle w:val="22"/>
        <w:spacing w:line="360" w:lineRule="auto"/>
        <w:ind w:firstLine="643"/>
        <w:rPr>
          <w:rFonts w:ascii="Times New Roman" w:hAnsi="Times New Roman" w:eastAsia="楷体"/>
          <w:b/>
          <w:sz w:val="32"/>
          <w:szCs w:val="32"/>
        </w:rPr>
      </w:pPr>
      <w:r>
        <w:rPr>
          <w:rFonts w:hint="default" w:ascii="Times New Roman" w:hAnsi="Times New Roman" w:eastAsia="楷体"/>
          <w:b/>
          <w:sz w:val="32"/>
          <w:szCs w:val="32"/>
        </w:rPr>
        <w:t>（</w:t>
      </w:r>
      <w:r>
        <w:rPr>
          <w:rFonts w:ascii="Times New Roman" w:hAnsi="Times New Roman" w:eastAsia="楷体"/>
          <w:b/>
          <w:sz w:val="32"/>
          <w:szCs w:val="32"/>
        </w:rPr>
        <w:t>四</w:t>
      </w:r>
      <w:r>
        <w:rPr>
          <w:rFonts w:hint="default" w:ascii="Times New Roman" w:hAnsi="Times New Roman" w:eastAsia="楷体"/>
          <w:b/>
          <w:sz w:val="32"/>
          <w:szCs w:val="32"/>
        </w:rPr>
        <w:t>）</w:t>
      </w:r>
      <w:r>
        <w:rPr>
          <w:rFonts w:ascii="Times New Roman" w:hAnsi="Times New Roman" w:eastAsia="楷体"/>
          <w:b/>
          <w:sz w:val="32"/>
          <w:szCs w:val="32"/>
        </w:rPr>
        <w:t>效能评价</w:t>
      </w:r>
    </w:p>
    <w:p>
      <w:pPr>
        <w:pStyle w:val="6"/>
        <w:spacing w:before="0" w:beforeAutospacing="0" w:after="0" w:afterAutospacing="0" w:line="360" w:lineRule="auto"/>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sz w:val="32"/>
          <w:szCs w:val="32"/>
        </w:rPr>
        <w:t>检测机构根据项目购买服务合同确定的职责任务，按照项目效能评价表（见附件5）的指标要求，适时开展自评，于</w:t>
      </w: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023年</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2月</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5日前完成自评报告，并附效能评价表，</w:t>
      </w:r>
      <w:r>
        <w:rPr>
          <w:rFonts w:ascii="Times New Roman" w:hAnsi="Times New Roman" w:eastAsia="仿宋_GB2312" w:cs="Times New Roman"/>
          <w:bCs/>
          <w:sz w:val="32"/>
          <w:szCs w:val="32"/>
        </w:rPr>
        <w:t>上报我站。</w:t>
      </w:r>
    </w:p>
    <w:p>
      <w:pPr>
        <w:pStyle w:val="6"/>
        <w:spacing w:before="0" w:beforeAutospacing="0" w:after="0" w:afterAutospacing="0" w:line="48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各省级水生动物疫控机构负责辖区内相关项目效能评价的组织工作，确保评价结果客观真实，并通过效能评价不断提升疫病监测工作</w:t>
      </w:r>
      <w:r>
        <w:rPr>
          <w:rFonts w:hint="default" w:ascii="Times New Roman" w:hAnsi="Times New Roman" w:eastAsia="仿宋_GB2312" w:cs="Times New Roman"/>
          <w:sz w:val="32"/>
          <w:szCs w:val="32"/>
        </w:rPr>
        <w:t>质量水平</w:t>
      </w:r>
      <w:r>
        <w:rPr>
          <w:rFonts w:ascii="Times New Roman" w:hAnsi="Times New Roman" w:eastAsia="仿宋_GB2312" w:cs="Times New Roman"/>
          <w:sz w:val="32"/>
          <w:szCs w:val="32"/>
        </w:rPr>
        <w:t>。</w:t>
      </w:r>
    </w:p>
    <w:p>
      <w:pPr>
        <w:pStyle w:val="6"/>
        <w:spacing w:before="0" w:beforeAutospacing="0" w:after="0" w:afterAutospacing="0" w:line="360" w:lineRule="auto"/>
        <w:ind w:firstLine="640" w:firstLineChars="200"/>
        <w:jc w:val="both"/>
        <w:rPr>
          <w:rFonts w:ascii="Times New Roman" w:hAnsi="Times New Roman" w:eastAsia="黑体" w:cs="Times New Roman"/>
          <w:sz w:val="32"/>
          <w:szCs w:val="32"/>
        </w:rPr>
      </w:pPr>
      <w:r>
        <w:rPr>
          <w:rFonts w:hint="default" w:ascii="Times New Roman" w:hAnsi="Times New Roman" w:eastAsia="黑体" w:cs="Times New Roman"/>
          <w:sz w:val="32"/>
          <w:szCs w:val="32"/>
        </w:rPr>
        <w:t>二、疾病测报</w:t>
      </w:r>
    </w:p>
    <w:p>
      <w:pPr>
        <w:pStyle w:val="23"/>
        <w:widowControl/>
        <w:autoSpaceDE w:val="0"/>
        <w:spacing w:line="360" w:lineRule="auto"/>
        <w:ind w:firstLine="640"/>
        <w:rPr>
          <w:rFonts w:ascii="Times New Roman" w:hAnsi="Times New Roman" w:eastAsia="仿宋_GB2312"/>
          <w:sz w:val="32"/>
          <w:szCs w:val="32"/>
        </w:rPr>
      </w:pPr>
      <w:r>
        <w:rPr>
          <w:rFonts w:hint="default" w:ascii="Times New Roman" w:hAnsi="Times New Roman" w:eastAsia="仿宋_GB2312"/>
          <w:sz w:val="32"/>
          <w:szCs w:val="32"/>
        </w:rPr>
        <w:t>疾病测报是通过测报员对我国水产养殖动植物疾病情况进行全面监测，并对疾病发生及危害趋势做出预报的过程。</w:t>
      </w:r>
    </w:p>
    <w:p>
      <w:pPr>
        <w:pStyle w:val="23"/>
        <w:widowControl/>
        <w:autoSpaceDE w:val="0"/>
        <w:spacing w:line="360" w:lineRule="auto"/>
        <w:ind w:firstLine="643"/>
        <w:rPr>
          <w:rFonts w:ascii="Times New Roman" w:hAnsi="Times New Roman" w:eastAsia="楷体"/>
          <w:b/>
          <w:sz w:val="32"/>
          <w:szCs w:val="32"/>
        </w:rPr>
      </w:pPr>
      <w:r>
        <w:rPr>
          <w:rFonts w:hint="default" w:ascii="Times New Roman" w:hAnsi="Times New Roman" w:eastAsia="楷体"/>
          <w:b/>
          <w:sz w:val="32"/>
          <w:szCs w:val="32"/>
        </w:rPr>
        <w:t>（一）监测点设置</w:t>
      </w:r>
    </w:p>
    <w:p>
      <w:pPr>
        <w:pStyle w:val="6"/>
        <w:spacing w:before="0" w:beforeAutospacing="0" w:after="0" w:afterAutospacing="0" w:line="360" w:lineRule="auto"/>
        <w:ind w:firstLine="641"/>
        <w:jc w:val="both"/>
        <w:rPr>
          <w:rFonts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各省级水生动物疫控机构根据《水产养殖动植物疾病测报规范》（</w:t>
      </w:r>
      <w:r>
        <w:rPr>
          <w:rFonts w:ascii="Times New Roman" w:hAnsi="Times New Roman" w:eastAsia="仿宋_GB2312" w:cs="Times New Roman"/>
          <w:sz w:val="32"/>
          <w:szCs w:val="32"/>
        </w:rPr>
        <w:t>SC/T 7020-2016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依据</w:t>
      </w:r>
      <w:r>
        <w:rPr>
          <w:rFonts w:hint="default" w:ascii="Times New Roman" w:hAnsi="Times New Roman" w:eastAsia="仿宋_GB2312" w:cs="Times New Roman"/>
          <w:sz w:val="32"/>
          <w:szCs w:val="32"/>
        </w:rPr>
        <w:t>覆盖主要养殖方式、主要养殖种类的原则设立监测点，监测点应配备必要的仪器设备采集水温、pH值、溶解氧、氨氮、亚硝酸盐等水质指标，为实现科学预警提供重要依据。特别是应将辖区内纳入专项监测任务的监测点及国家级水产健康养殖示范场等规模化示范场纳入疾病测报范围，确保监测数据能够科学反映辖区水产养殖的发病情况。</w:t>
      </w:r>
      <w:r>
        <w:rPr>
          <w:rFonts w:hint="eastAsia" w:ascii="Times New Roman" w:hAnsi="Times New Roman" w:eastAsia="仿宋_GB2312" w:cs="Times New Roman"/>
          <w:sz w:val="32"/>
          <w:szCs w:val="32"/>
        </w:rPr>
        <w:t>要</w:t>
      </w:r>
      <w:r>
        <w:rPr>
          <w:rFonts w:hint="default" w:ascii="Times New Roman" w:hAnsi="Times New Roman" w:eastAsia="仿宋_GB2312" w:cs="Times New Roman"/>
          <w:sz w:val="32"/>
          <w:szCs w:val="32"/>
        </w:rPr>
        <w:t>及时通过</w:t>
      </w:r>
      <w:r>
        <w:rPr>
          <w:rFonts w:hint="default" w:ascii="Times New Roman" w:hAnsi="Times New Roman" w:eastAsia="仿宋_GB2312" w:cs="Times New Roman"/>
          <w:bCs/>
          <w:sz w:val="32"/>
          <w:szCs w:val="32"/>
        </w:rPr>
        <w:t>“智能渔技综合信息服务平台——</w:t>
      </w:r>
      <w:r>
        <w:rPr>
          <w:rFonts w:hint="default" w:ascii="Times New Roman" w:hAnsi="Times New Roman" w:eastAsia="仿宋_GB2312" w:cs="Times New Roman"/>
          <w:sz w:val="32"/>
          <w:szCs w:val="32"/>
        </w:rPr>
        <w:t>全国水产养殖动植物病情测报系统”（以下称“测报系统”）修改、完善监测点和测报员信息，并加强对测报员的培训，提高测报员业务能力和水平。</w:t>
      </w:r>
    </w:p>
    <w:p>
      <w:pPr>
        <w:pStyle w:val="6"/>
        <w:spacing w:before="0" w:beforeAutospacing="0" w:after="0" w:afterAutospacing="0" w:line="360" w:lineRule="auto"/>
        <w:ind w:firstLine="643" w:firstLineChars="200"/>
        <w:jc w:val="both"/>
        <w:rPr>
          <w:rFonts w:ascii="Times New Roman" w:hAnsi="Times New Roman" w:eastAsia="楷体" w:cs="Times New Roman"/>
          <w:b/>
          <w:sz w:val="32"/>
          <w:szCs w:val="32"/>
        </w:rPr>
      </w:pPr>
      <w:r>
        <w:rPr>
          <w:rFonts w:hint="default" w:ascii="Times New Roman" w:hAnsi="Times New Roman" w:eastAsia="楷体" w:cs="Times New Roman"/>
          <w:b/>
          <w:sz w:val="32"/>
          <w:szCs w:val="32"/>
        </w:rPr>
        <w:t>（二）信息上报</w:t>
      </w:r>
    </w:p>
    <w:p>
      <w:pPr>
        <w:pStyle w:val="33"/>
        <w:numPr>
          <w:ilvl w:val="0"/>
          <w:numId w:val="0"/>
        </w:numPr>
        <w:spacing w:before="0" w:beforeLines="0" w:after="0" w:afterLines="0" w:line="360" w:lineRule="auto"/>
        <w:ind w:firstLine="640" w:firstLineChars="200"/>
        <w:rPr>
          <w:rFonts w:ascii="Times New Roman" w:eastAsia="仿宋_GB2312"/>
          <w:sz w:val="32"/>
          <w:szCs w:val="32"/>
        </w:rPr>
      </w:pPr>
      <w:r>
        <w:rPr>
          <w:rFonts w:hint="default" w:ascii="Times New Roman" w:eastAsia="仿宋_GB2312"/>
          <w:sz w:val="32"/>
          <w:szCs w:val="32"/>
        </w:rPr>
        <w:t>测报员应与监测点养殖人员保持日常联系，通过“测报系统”及时上报监测信息。县级以上水生动物疫控机构应在规定的每个监测月度的上报截止日前，按要求对辖区内数据进行汇总分析，填写水产养殖动植物疾病监测月度统计报表，并对上报数据进行认真审核和严格把关，不得瞒报、谎报、迟报、漏报病情。</w:t>
      </w:r>
    </w:p>
    <w:p>
      <w:pPr>
        <w:pStyle w:val="33"/>
        <w:numPr>
          <w:ilvl w:val="0"/>
          <w:numId w:val="0"/>
        </w:numPr>
        <w:spacing w:before="0" w:beforeLines="0" w:after="0" w:afterLines="0" w:line="360" w:lineRule="auto"/>
        <w:ind w:firstLine="640" w:firstLineChars="200"/>
        <w:rPr>
          <w:rFonts w:ascii="Times New Roman" w:eastAsia="仿宋_GB2312"/>
          <w:sz w:val="32"/>
          <w:szCs w:val="32"/>
        </w:rPr>
      </w:pPr>
      <w:r>
        <w:rPr>
          <w:rFonts w:hint="default" w:ascii="Times New Roman" w:eastAsia="仿宋_GB2312"/>
          <w:sz w:val="32"/>
          <w:szCs w:val="32"/>
        </w:rPr>
        <w:t>当</w:t>
      </w:r>
      <w:r>
        <w:rPr>
          <w:rFonts w:hint="default" w:ascii="Times New Roman" w:eastAsia="仿宋_GB2312"/>
          <w:kern w:val="2"/>
          <w:sz w:val="32"/>
          <w:szCs w:val="32"/>
        </w:rPr>
        <w:t>监测区域或监测点范围外发生疑似新发病例或重大疾病时，测报员或县级以上水生动物疫控机构应及时通过“测报系统”的“预警快报”模块上报信息，并</w:t>
      </w:r>
      <w:r>
        <w:rPr>
          <w:rFonts w:hint="default" w:ascii="Times New Roman" w:eastAsia="仿宋_GB2312"/>
          <w:sz w:val="32"/>
          <w:szCs w:val="32"/>
        </w:rPr>
        <w:t>按照国家相关规定处理，</w:t>
      </w:r>
      <w:r>
        <w:rPr>
          <w:rFonts w:hint="eastAsia" w:ascii="Times New Roman" w:eastAsia="仿宋_GB2312"/>
          <w:sz w:val="32"/>
          <w:szCs w:val="32"/>
        </w:rPr>
        <w:t>切实</w:t>
      </w:r>
      <w:r>
        <w:rPr>
          <w:rFonts w:hint="default" w:ascii="Times New Roman" w:eastAsia="仿宋_GB2312"/>
          <w:sz w:val="32"/>
          <w:szCs w:val="32"/>
        </w:rPr>
        <w:t>减少因疾病造成的损失，同时避免媒体炒作导致的不良社会影响。</w:t>
      </w:r>
    </w:p>
    <w:p>
      <w:pPr>
        <w:pStyle w:val="23"/>
        <w:widowControl/>
        <w:autoSpaceDE w:val="0"/>
        <w:spacing w:line="360" w:lineRule="auto"/>
        <w:ind w:firstLine="643"/>
        <w:rPr>
          <w:rFonts w:ascii="Times New Roman" w:hAnsi="Times New Roman" w:eastAsia="楷体"/>
          <w:b/>
          <w:sz w:val="32"/>
          <w:szCs w:val="32"/>
        </w:rPr>
      </w:pPr>
      <w:r>
        <w:rPr>
          <w:rFonts w:hint="default" w:ascii="Times New Roman" w:hAnsi="Times New Roman" w:eastAsia="楷体"/>
          <w:b/>
          <w:sz w:val="32"/>
          <w:szCs w:val="32"/>
        </w:rPr>
        <w:t>（三）疾病诊断</w:t>
      </w:r>
    </w:p>
    <w:p>
      <w:pPr>
        <w:pStyle w:val="26"/>
        <w:spacing w:line="360" w:lineRule="auto"/>
        <w:ind w:firstLine="640"/>
        <w:rPr>
          <w:rFonts w:ascii="Times New Roman" w:eastAsia="仿宋_GB2312"/>
          <w:sz w:val="32"/>
          <w:szCs w:val="32"/>
        </w:rPr>
      </w:pPr>
      <w:r>
        <w:rPr>
          <w:rFonts w:hint="default" w:ascii="Times New Roman" w:eastAsia="仿宋_GB2312"/>
          <w:color w:val="auto"/>
          <w:sz w:val="32"/>
          <w:szCs w:val="32"/>
        </w:rPr>
        <w:t>“全国水生动物疾病远程辅助诊断网”（以下称“鱼病远诊网”，网址</w:t>
      </w:r>
      <w:r>
        <w:rPr>
          <w:rFonts w:ascii="Times New Roman" w:eastAsia="仿宋_GB2312"/>
          <w:color w:val="auto"/>
          <w:sz w:val="32"/>
          <w:szCs w:val="32"/>
        </w:rPr>
        <w:fldChar w:fldCharType="begin"/>
      </w:r>
      <w:r>
        <w:rPr>
          <w:rFonts w:ascii="Times New Roman" w:eastAsia="仿宋_GB2312"/>
          <w:color w:val="auto"/>
          <w:sz w:val="32"/>
          <w:szCs w:val="32"/>
        </w:rPr>
        <w:instrText xml:space="preserve"> HYPERLINK "http://</w:instrText>
      </w:r>
      <w:r>
        <w:rPr>
          <w:rFonts w:hint="default" w:ascii="Times New Roman"/>
          <w:color w:val="auto"/>
        </w:rPr>
        <w:instrText xml:space="preserve">：</w:instrText>
      </w:r>
      <w:r>
        <w:rPr>
          <w:rFonts w:ascii="Times New Roman"/>
          <w:color w:val="auto"/>
        </w:rPr>
        <w:instrText xml:space="preserve">www.adds.org.cn/</w:instrText>
      </w:r>
      <w:r>
        <w:rPr>
          <w:rFonts w:hint="default" w:ascii="Times New Roman"/>
          <w:color w:val="auto"/>
        </w:rPr>
        <w:instrText xml:space="preserve">），目前已形成了包括</w:instrText>
      </w:r>
      <w:r>
        <w:rPr>
          <w:rFonts w:ascii="Times New Roman"/>
          <w:color w:val="auto"/>
        </w:rPr>
        <w:instrText xml:space="preserve">61</w:instrText>
      </w:r>
      <w:r>
        <w:rPr>
          <w:rFonts w:hint="default" w:ascii="Times New Roman"/>
          <w:color w:val="auto"/>
        </w:rPr>
        <w:instrText xml:space="preserve">个自助诊断品种、</w:instrText>
      </w:r>
      <w:r>
        <w:rPr>
          <w:rFonts w:ascii="Times New Roman"/>
          <w:color w:val="auto"/>
        </w:rPr>
        <w:instrText xml:space="preserve">180</w:instrText>
      </w:r>
      <w:r>
        <w:rPr>
          <w:rFonts w:hint="default" w:ascii="Times New Roman"/>
          <w:color w:val="auto"/>
        </w:rPr>
        <w:instrText xml:space="preserve">多种常见疾病的技术资料库，并拥有</w:instrText>
      </w:r>
      <w:r>
        <w:rPr>
          <w:rFonts w:ascii="Times New Roman"/>
          <w:color w:val="auto"/>
        </w:rPr>
        <w:instrText xml:space="preserve">23</w:instrText>
      </w:r>
      <w:r>
        <w:rPr>
          <w:rFonts w:ascii="Times New Roman" w:eastAsia="仿宋_GB2312"/>
          <w:color w:val="auto"/>
          <w:sz w:val="32"/>
          <w:szCs w:val="32"/>
        </w:rPr>
        <w:instrText xml:space="preserve">" </w:instrText>
      </w:r>
      <w:r>
        <w:rPr>
          <w:rFonts w:ascii="Times New Roman" w:eastAsia="仿宋_GB2312"/>
          <w:color w:val="auto"/>
          <w:sz w:val="32"/>
          <w:szCs w:val="32"/>
        </w:rPr>
        <w:fldChar w:fldCharType="separate"/>
      </w:r>
      <w:r>
        <w:rPr>
          <w:rStyle w:val="13"/>
          <w:rFonts w:hint="default" w:ascii="Times New Roman" w:eastAsia="仿宋_GB2312"/>
          <w:color w:val="auto"/>
          <w:sz w:val="32"/>
          <w:szCs w:val="32"/>
        </w:rPr>
        <w:t>：</w:t>
      </w:r>
      <w:r>
        <w:rPr>
          <w:rStyle w:val="13"/>
          <w:rFonts w:ascii="Times New Roman" w:eastAsia="仿宋_GB2312"/>
          <w:color w:val="auto"/>
          <w:sz w:val="32"/>
          <w:szCs w:val="32"/>
        </w:rPr>
        <w:t>www.adds.org.cn/</w:t>
      </w:r>
      <w:r>
        <w:rPr>
          <w:rStyle w:val="13"/>
          <w:rFonts w:hint="default" w:ascii="Times New Roman" w:eastAsia="仿宋_GB2312"/>
          <w:color w:val="auto"/>
          <w:sz w:val="32"/>
          <w:szCs w:val="32"/>
        </w:rPr>
        <w:t>），目前已形成了包括</w:t>
      </w:r>
      <w:r>
        <w:rPr>
          <w:rStyle w:val="13"/>
          <w:rFonts w:ascii="Times New Roman" w:eastAsia="仿宋_GB2312"/>
          <w:color w:val="auto"/>
          <w:sz w:val="32"/>
          <w:szCs w:val="32"/>
        </w:rPr>
        <w:t>61</w:t>
      </w:r>
      <w:r>
        <w:rPr>
          <w:rStyle w:val="13"/>
          <w:rFonts w:hint="default" w:ascii="Times New Roman" w:eastAsia="仿宋_GB2312"/>
          <w:color w:val="auto"/>
          <w:sz w:val="32"/>
          <w:szCs w:val="32"/>
        </w:rPr>
        <w:t>个自助诊断品种</w:t>
      </w:r>
      <w:bookmarkStart w:id="2" w:name="_Hlt130817717"/>
      <w:r>
        <w:rPr>
          <w:rStyle w:val="13"/>
          <w:rFonts w:hint="default" w:ascii="Times New Roman" w:eastAsia="仿宋_GB2312"/>
          <w:color w:val="auto"/>
          <w:sz w:val="32"/>
          <w:szCs w:val="32"/>
        </w:rPr>
        <w:t>、</w:t>
      </w:r>
      <w:bookmarkEnd w:id="2"/>
      <w:r>
        <w:rPr>
          <w:rStyle w:val="13"/>
          <w:rFonts w:ascii="Times New Roman" w:eastAsia="仿宋_GB2312"/>
          <w:color w:val="auto"/>
          <w:sz w:val="32"/>
          <w:szCs w:val="32"/>
        </w:rPr>
        <w:t>1</w:t>
      </w:r>
      <w:bookmarkStart w:id="3" w:name="_Hlt130817736"/>
      <w:bookmarkStart w:id="4" w:name="_Hlt130817734"/>
      <w:r>
        <w:rPr>
          <w:rStyle w:val="13"/>
          <w:rFonts w:ascii="Times New Roman" w:eastAsia="仿宋_GB2312"/>
          <w:color w:val="auto"/>
          <w:sz w:val="32"/>
          <w:szCs w:val="32"/>
        </w:rPr>
        <w:t>8</w:t>
      </w:r>
      <w:bookmarkEnd w:id="3"/>
      <w:bookmarkEnd w:id="4"/>
      <w:r>
        <w:rPr>
          <w:rStyle w:val="13"/>
          <w:rFonts w:ascii="Times New Roman" w:eastAsia="仿宋_GB2312"/>
          <w:color w:val="auto"/>
          <w:sz w:val="32"/>
          <w:szCs w:val="32"/>
        </w:rPr>
        <w:t>0</w:t>
      </w:r>
      <w:bookmarkStart w:id="5" w:name="_Hlt130817721"/>
      <w:r>
        <w:rPr>
          <w:rStyle w:val="13"/>
          <w:rFonts w:hint="default" w:ascii="Times New Roman" w:eastAsia="仿宋_GB2312"/>
          <w:color w:val="auto"/>
          <w:sz w:val="32"/>
          <w:szCs w:val="32"/>
        </w:rPr>
        <w:t>多</w:t>
      </w:r>
      <w:bookmarkEnd w:id="5"/>
      <w:r>
        <w:rPr>
          <w:rStyle w:val="13"/>
          <w:rFonts w:hint="default" w:ascii="Times New Roman" w:eastAsia="仿宋_GB2312"/>
          <w:color w:val="auto"/>
          <w:sz w:val="32"/>
          <w:szCs w:val="32"/>
        </w:rPr>
        <w:t>种常见疾病的技术</w:t>
      </w:r>
      <w:bookmarkStart w:id="6" w:name="_Hlt130820383"/>
      <w:bookmarkStart w:id="7" w:name="_Hlt130820376"/>
      <w:bookmarkStart w:id="8" w:name="_Hlt130820364"/>
      <w:r>
        <w:rPr>
          <w:rStyle w:val="13"/>
          <w:rFonts w:hint="default" w:ascii="Times New Roman" w:eastAsia="仿宋_GB2312"/>
          <w:color w:val="auto"/>
          <w:sz w:val="32"/>
          <w:szCs w:val="32"/>
        </w:rPr>
        <w:t>资</w:t>
      </w:r>
      <w:bookmarkEnd w:id="6"/>
      <w:bookmarkEnd w:id="7"/>
      <w:bookmarkEnd w:id="8"/>
      <w:bookmarkStart w:id="9" w:name="_Hlt130820367"/>
      <w:r>
        <w:rPr>
          <w:rStyle w:val="13"/>
          <w:rFonts w:hint="default" w:ascii="Times New Roman" w:eastAsia="仿宋_GB2312"/>
          <w:color w:val="auto"/>
          <w:sz w:val="32"/>
          <w:szCs w:val="32"/>
        </w:rPr>
        <w:t>料</w:t>
      </w:r>
      <w:bookmarkEnd w:id="9"/>
      <w:r>
        <w:rPr>
          <w:rStyle w:val="13"/>
          <w:rFonts w:hint="default" w:ascii="Times New Roman" w:eastAsia="仿宋_GB2312"/>
          <w:color w:val="auto"/>
          <w:sz w:val="32"/>
          <w:szCs w:val="32"/>
        </w:rPr>
        <w:t>库，并拥有</w:t>
      </w:r>
      <w:r>
        <w:rPr>
          <w:rStyle w:val="13"/>
          <w:rFonts w:ascii="Times New Roman" w:eastAsia="仿宋_GB2312"/>
          <w:color w:val="auto"/>
          <w:sz w:val="32"/>
          <w:szCs w:val="32"/>
        </w:rPr>
        <w:t>23</w:t>
      </w:r>
      <w:r>
        <w:rPr>
          <w:rFonts w:ascii="Times New Roman" w:eastAsia="仿宋_GB2312"/>
          <w:color w:val="auto"/>
          <w:sz w:val="32"/>
          <w:szCs w:val="32"/>
        </w:rPr>
        <w:fldChar w:fldCharType="end"/>
      </w:r>
      <w:r>
        <w:rPr>
          <w:rFonts w:hint="default" w:ascii="Times New Roman" w:eastAsia="仿宋_GB2312"/>
          <w:sz w:val="32"/>
          <w:szCs w:val="32"/>
        </w:rPr>
        <w:t>位国家级专家和118位省级专家，可提供线上咨询服务。对于难以确诊的疾病，可通过“鱼病远诊网”或微信小程序的“专家诊室”“自助诊断”等功能，进行咨询或诊断。</w:t>
      </w:r>
    </w:p>
    <w:p>
      <w:pPr>
        <w:pStyle w:val="23"/>
        <w:widowControl/>
        <w:autoSpaceDE w:val="0"/>
        <w:spacing w:line="360" w:lineRule="auto"/>
        <w:ind w:firstLine="643"/>
        <w:rPr>
          <w:rFonts w:ascii="Times New Roman" w:hAnsi="Times New Roman" w:eastAsia="楷体"/>
          <w:b/>
          <w:sz w:val="32"/>
          <w:szCs w:val="32"/>
        </w:rPr>
      </w:pPr>
      <w:r>
        <w:rPr>
          <w:rFonts w:hint="default" w:ascii="Times New Roman" w:hAnsi="Times New Roman" w:eastAsia="楷体"/>
          <w:b/>
          <w:sz w:val="32"/>
          <w:szCs w:val="32"/>
        </w:rPr>
        <w:t>（四）预报</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w:t>
      </w:r>
      <w:r>
        <w:rPr>
          <w:rFonts w:hint="default" w:ascii="Times New Roman" w:hAnsi="Times New Roman" w:eastAsia="仿宋_GB2312"/>
          <w:color w:val="auto"/>
          <w:sz w:val="32"/>
          <w:szCs w:val="32"/>
        </w:rPr>
        <w:t>月至</w:t>
      </w:r>
      <w:r>
        <w:rPr>
          <w:rFonts w:ascii="Times New Roman" w:hAnsi="Times New Roman" w:eastAsia="仿宋_GB2312"/>
          <w:color w:val="auto"/>
          <w:sz w:val="32"/>
          <w:szCs w:val="32"/>
        </w:rPr>
        <w:t>10</w:t>
      </w:r>
      <w:r>
        <w:rPr>
          <w:rFonts w:hint="default" w:ascii="Times New Roman" w:hAnsi="Times New Roman" w:eastAsia="仿宋_GB2312"/>
          <w:color w:val="auto"/>
          <w:sz w:val="32"/>
          <w:szCs w:val="32"/>
        </w:rPr>
        <w:t>月是水产养殖主要生产季节，在此期间，各省级水生动物疫控机构应对历年监测数据进行分析，对辖区内重点养殖区域、主要养殖品种的发病趋势进行预测，并于每月</w:t>
      </w:r>
      <w:r>
        <w:rPr>
          <w:rFonts w:ascii="Times New Roman" w:hAnsi="Times New Roman" w:eastAsia="仿宋_GB2312"/>
          <w:color w:val="auto"/>
          <w:sz w:val="32"/>
          <w:szCs w:val="32"/>
        </w:rPr>
        <w:t>20</w:t>
      </w:r>
      <w:r>
        <w:rPr>
          <w:rFonts w:hint="default" w:ascii="Times New Roman" w:hAnsi="Times New Roman" w:eastAsia="仿宋_GB2312"/>
          <w:color w:val="auto"/>
          <w:sz w:val="32"/>
          <w:szCs w:val="32"/>
        </w:rPr>
        <w:t>日前将下月的预报信息（相关要求见附件</w:t>
      </w:r>
      <w:r>
        <w:rPr>
          <w:rFonts w:ascii="Times New Roman" w:hAnsi="Times New Roman" w:eastAsia="仿宋_GB2312"/>
          <w:color w:val="auto"/>
          <w:sz w:val="32"/>
          <w:szCs w:val="32"/>
        </w:rPr>
        <w:t>6</w:t>
      </w:r>
      <w:r>
        <w:rPr>
          <w:rFonts w:hint="default" w:ascii="Times New Roman" w:hAnsi="Times New Roman" w:eastAsia="仿宋_GB2312"/>
          <w:color w:val="auto"/>
          <w:sz w:val="32"/>
          <w:szCs w:val="32"/>
        </w:rPr>
        <w:t>）报送我站（邮箱：</w:t>
      </w:r>
      <w:r>
        <w:rPr>
          <w:rFonts w:ascii="Times New Roman" w:hAnsi="Times New Roman"/>
          <w:color w:val="auto"/>
        </w:rPr>
        <w:fldChar w:fldCharType="begin"/>
      </w:r>
      <w:r>
        <w:rPr>
          <w:rFonts w:ascii="Times New Roman" w:hAnsi="Times New Roman"/>
          <w:color w:val="auto"/>
        </w:rPr>
        <w:instrText xml:space="preserve"> HYPERLINK "mailto:bfc712@163.com。" </w:instrText>
      </w:r>
      <w:r>
        <w:rPr>
          <w:rFonts w:ascii="Times New Roman" w:hAnsi="Times New Roman"/>
          <w:color w:val="auto"/>
        </w:rPr>
        <w:fldChar w:fldCharType="separate"/>
      </w:r>
      <w:r>
        <w:rPr>
          <w:rStyle w:val="13"/>
          <w:rFonts w:ascii="Times New Roman" w:hAnsi="Times New Roman" w:eastAsia="仿宋_GB2312"/>
          <w:color w:val="auto"/>
          <w:sz w:val="32"/>
          <w:szCs w:val="32"/>
        </w:rPr>
        <w:t>bfc712@163.com</w:t>
      </w:r>
      <w:r>
        <w:rPr>
          <w:rStyle w:val="13"/>
          <w:rFonts w:ascii="Times New Roman" w:hAnsi="Times New Roman" w:eastAsia="仿宋_GB2312"/>
          <w:color w:val="auto"/>
          <w:sz w:val="32"/>
          <w:szCs w:val="32"/>
        </w:rPr>
        <w:fldChar w:fldCharType="end"/>
      </w:r>
      <w:r>
        <w:rPr>
          <w:rFonts w:hint="default" w:ascii="Times New Roman" w:hAnsi="Times New Roman" w:eastAsia="仿宋_GB2312"/>
          <w:color w:val="auto"/>
          <w:sz w:val="32"/>
          <w:szCs w:val="32"/>
        </w:rPr>
        <w:t>）。预报信息中的防治措施应符合</w:t>
      </w:r>
      <w:bookmarkStart w:id="10" w:name="_Hlk130803685"/>
      <w:r>
        <w:rPr>
          <w:rFonts w:hint="default" w:ascii="Times New Roman" w:hAnsi="Times New Roman" w:eastAsia="仿宋_GB2312"/>
          <w:color w:val="auto"/>
          <w:sz w:val="32"/>
          <w:szCs w:val="32"/>
        </w:rPr>
        <w:t>《动物防疫法》</w:t>
      </w:r>
      <w:bookmarkEnd w:id="10"/>
      <w:r>
        <w:rPr>
          <w:rFonts w:hint="default" w:ascii="Times New Roman" w:hAnsi="Times New Roman" w:eastAsia="仿宋_GB2312"/>
          <w:color w:val="auto"/>
          <w:sz w:val="32"/>
          <w:szCs w:val="32"/>
        </w:rPr>
        <w:t>《兽药管理条例》《饲料和饲料添加剂管理条例》等有关规定，我站审核后将通过相关媒体对外发布。</w:t>
      </w:r>
    </w:p>
    <w:p>
      <w:pPr>
        <w:spacing w:line="360" w:lineRule="auto"/>
        <w:ind w:firstLine="640" w:firstLineChars="200"/>
        <w:rPr>
          <w:rFonts w:ascii="Times New Roman" w:hAnsi="Times New Roman" w:eastAsia="黑体"/>
          <w:sz w:val="32"/>
          <w:szCs w:val="32"/>
        </w:rPr>
      </w:pPr>
      <w:r>
        <w:rPr>
          <w:rFonts w:hint="default" w:ascii="Times New Roman" w:hAnsi="Times New Roman" w:eastAsia="黑体" w:cs="Times New Roman"/>
          <w:sz w:val="32"/>
          <w:szCs w:val="32"/>
        </w:rPr>
        <w:t>三、其他事项</w:t>
      </w:r>
    </w:p>
    <w:p>
      <w:pPr>
        <w:spacing w:line="360" w:lineRule="auto"/>
        <w:ind w:firstLine="643" w:firstLineChars="200"/>
        <w:rPr>
          <w:rFonts w:ascii="Times New Roman" w:hAnsi="Times New Roman" w:eastAsia="楷体"/>
          <w:b/>
          <w:sz w:val="32"/>
          <w:szCs w:val="32"/>
        </w:rPr>
      </w:pPr>
      <w:r>
        <w:rPr>
          <w:rFonts w:hint="default" w:ascii="Times New Roman" w:hAnsi="Times New Roman" w:eastAsia="楷体"/>
          <w:b/>
          <w:sz w:val="32"/>
          <w:szCs w:val="32"/>
        </w:rPr>
        <w:t>（一）专项监测</w:t>
      </w:r>
    </w:p>
    <w:p>
      <w:pPr>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联系人：蔡晨旭</w:t>
      </w:r>
    </w:p>
    <w:p>
      <w:pPr>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联系电话：010-59195074</w:t>
      </w:r>
    </w:p>
    <w:p>
      <w:pPr>
        <w:spacing w:line="360" w:lineRule="auto"/>
        <w:ind w:firstLine="640" w:firstLineChars="200"/>
        <w:rPr>
          <w:rFonts w:ascii="Times New Roman" w:hAnsi="Times New Roman" w:eastAsia="仿宋_GB2312"/>
          <w:bCs/>
          <w:sz w:val="32"/>
          <w:szCs w:val="32"/>
        </w:rPr>
      </w:pPr>
      <w:r>
        <w:rPr>
          <w:rFonts w:hint="default" w:ascii="Times New Roman" w:hAnsi="Times New Roman" w:eastAsia="仿宋_GB2312" w:cs="Times New Roman"/>
          <w:sz w:val="32"/>
          <w:szCs w:val="32"/>
        </w:rPr>
        <w:t>电子邮箱：</w:t>
      </w:r>
      <w:r>
        <w:rPr>
          <w:rFonts w:ascii="Times New Roman" w:hAnsi="Times New Roman"/>
        </w:rPr>
        <w:fldChar w:fldCharType="begin"/>
      </w:r>
      <w:r>
        <w:rPr>
          <w:rFonts w:ascii="Times New Roman" w:hAnsi="Times New Roman"/>
        </w:rPr>
        <w:instrText xml:space="preserve"> HYPERLINK "mailto:bfc712@163.com" </w:instrText>
      </w:r>
      <w:r>
        <w:rPr>
          <w:rFonts w:ascii="Times New Roman" w:hAnsi="Times New Roman"/>
        </w:rPr>
        <w:fldChar w:fldCharType="separate"/>
      </w:r>
      <w:r>
        <w:rPr>
          <w:rFonts w:ascii="Times New Roman" w:hAnsi="Times New Roman" w:eastAsia="仿宋_GB2312"/>
          <w:sz w:val="32"/>
          <w:szCs w:val="32"/>
        </w:rPr>
        <w:t>bfc</w:t>
      </w:r>
      <w:bookmarkStart w:id="11" w:name="_Hlt130818181"/>
      <w:r>
        <w:rPr>
          <w:rFonts w:ascii="Times New Roman" w:hAnsi="Times New Roman" w:eastAsia="仿宋_GB2312"/>
          <w:sz w:val="32"/>
          <w:szCs w:val="32"/>
        </w:rPr>
        <w:t>7</w:t>
      </w:r>
      <w:bookmarkEnd w:id="11"/>
      <w:r>
        <w:rPr>
          <w:rFonts w:ascii="Times New Roman" w:hAnsi="Times New Roman" w:eastAsia="仿宋_GB2312"/>
          <w:sz w:val="32"/>
          <w:szCs w:val="32"/>
        </w:rPr>
        <w:t>12@163.com</w:t>
      </w:r>
      <w:r>
        <w:rPr>
          <w:rFonts w:ascii="Times New Roman" w:hAnsi="Times New Roman" w:eastAsia="仿宋_GB2312"/>
          <w:sz w:val="32"/>
          <w:szCs w:val="32"/>
        </w:rPr>
        <w:fldChar w:fldCharType="end"/>
      </w:r>
    </w:p>
    <w:p>
      <w:pPr>
        <w:autoSpaceDE w:val="0"/>
        <w:spacing w:line="360" w:lineRule="auto"/>
        <w:ind w:firstLine="640" w:firstLineChars="200"/>
        <w:rPr>
          <w:rFonts w:ascii="Times New Roman" w:hAnsi="Times New Roman" w:eastAsia="仿宋_GB2312"/>
          <w:sz w:val="32"/>
          <w:szCs w:val="32"/>
          <w:lang w:bidi="ar"/>
        </w:rPr>
      </w:pPr>
      <w:r>
        <w:rPr>
          <w:rFonts w:hint="default" w:ascii="Times New Roman" w:hAnsi="Times New Roman" w:eastAsia="仿宋_GB2312"/>
          <w:sz w:val="32"/>
          <w:szCs w:val="32"/>
          <w:lang w:bidi="ar"/>
        </w:rPr>
        <w:t>如在使用“国家监测系统”中遇到技术问题</w:t>
      </w:r>
      <w:r>
        <w:rPr>
          <w:rFonts w:hint="eastAsia" w:ascii="Times New Roman" w:hAnsi="Times New Roman" w:eastAsia="仿宋_GB2312"/>
          <w:sz w:val="32"/>
          <w:szCs w:val="32"/>
          <w:lang w:bidi="ar"/>
        </w:rPr>
        <w:t>，</w:t>
      </w:r>
      <w:r>
        <w:rPr>
          <w:rFonts w:hint="default" w:ascii="Times New Roman" w:hAnsi="Times New Roman" w:eastAsia="仿宋_GB2312"/>
          <w:sz w:val="32"/>
          <w:szCs w:val="32"/>
          <w:lang w:bidi="ar"/>
        </w:rPr>
        <w:t>可咨询苏州捷安信息科技有限公司</w:t>
      </w:r>
      <w:r>
        <w:rPr>
          <w:rFonts w:hint="eastAsia" w:ascii="Times New Roman" w:hAnsi="Times New Roman" w:eastAsia="仿宋_GB2312"/>
          <w:sz w:val="32"/>
          <w:szCs w:val="32"/>
          <w:lang w:bidi="ar"/>
        </w:rPr>
        <w:t>，</w:t>
      </w:r>
      <w:r>
        <w:rPr>
          <w:rFonts w:hint="default" w:ascii="Times New Roman" w:hAnsi="Times New Roman" w:eastAsia="仿宋_GB2312"/>
          <w:sz w:val="32"/>
          <w:szCs w:val="32"/>
          <w:lang w:bidi="ar"/>
        </w:rPr>
        <w:t>田志鹏，1</w:t>
      </w:r>
      <w:r>
        <w:rPr>
          <w:rFonts w:ascii="Times New Roman" w:hAnsi="Times New Roman" w:eastAsia="仿宋_GB2312"/>
          <w:sz w:val="32"/>
          <w:szCs w:val="32"/>
          <w:lang w:bidi="ar"/>
        </w:rPr>
        <w:t>7612935661</w:t>
      </w:r>
      <w:r>
        <w:rPr>
          <w:rFonts w:hint="default" w:ascii="Times New Roman" w:hAnsi="Times New Roman" w:eastAsia="仿宋_GB2312"/>
          <w:sz w:val="32"/>
          <w:szCs w:val="32"/>
          <w:lang w:bidi="ar"/>
        </w:rPr>
        <w:t>。</w:t>
      </w:r>
    </w:p>
    <w:p>
      <w:pPr>
        <w:spacing w:line="360" w:lineRule="auto"/>
        <w:ind w:firstLine="643" w:firstLineChars="200"/>
        <w:rPr>
          <w:rFonts w:ascii="Times New Roman" w:hAnsi="Times New Roman" w:eastAsia="楷体"/>
          <w:b/>
          <w:sz w:val="32"/>
          <w:szCs w:val="32"/>
        </w:rPr>
      </w:pPr>
      <w:r>
        <w:rPr>
          <w:rFonts w:hint="default" w:ascii="Times New Roman" w:hAnsi="Times New Roman" w:eastAsia="楷体"/>
          <w:b/>
          <w:sz w:val="32"/>
          <w:szCs w:val="32"/>
        </w:rPr>
        <w:t>（二）</w:t>
      </w:r>
      <w:r>
        <w:rPr>
          <w:rFonts w:ascii="Times New Roman" w:hAnsi="Times New Roman" w:eastAsia="楷体"/>
          <w:b/>
          <w:sz w:val="32"/>
          <w:szCs w:val="32"/>
        </w:rPr>
        <w:t>疾病测报</w:t>
      </w:r>
    </w:p>
    <w:p>
      <w:pPr>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联系人：张翔</w:t>
      </w:r>
    </w:p>
    <w:p>
      <w:pPr>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ascii="Times New Roman" w:hAnsi="Times New Roman" w:eastAsia="仿宋_GB2312"/>
          <w:sz w:val="32"/>
          <w:szCs w:val="32"/>
        </w:rPr>
        <w:t>010-59195003</w:t>
      </w:r>
    </w:p>
    <w:p>
      <w:pPr>
        <w:spacing w:line="360" w:lineRule="auto"/>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电子邮箱：</w:t>
      </w:r>
      <w:r>
        <w:rPr>
          <w:rFonts w:ascii="Times New Roman" w:hAnsi="Times New Roman"/>
        </w:rPr>
        <w:fldChar w:fldCharType="begin"/>
      </w:r>
      <w:r>
        <w:rPr>
          <w:rFonts w:ascii="Times New Roman" w:hAnsi="Times New Roman"/>
        </w:rPr>
        <w:instrText xml:space="preserve"> HYPERLINK "mailto:bfc712@163.com" </w:instrText>
      </w:r>
      <w:r>
        <w:rPr>
          <w:rFonts w:ascii="Times New Roman" w:hAnsi="Times New Roman"/>
        </w:rPr>
        <w:fldChar w:fldCharType="separate"/>
      </w:r>
      <w:r>
        <w:rPr>
          <w:rFonts w:ascii="Times New Roman" w:hAnsi="Times New Roman" w:eastAsia="仿宋_GB2312"/>
          <w:sz w:val="32"/>
          <w:szCs w:val="32"/>
        </w:rPr>
        <w:t>bfc712@163.com</w:t>
      </w:r>
      <w:r>
        <w:rPr>
          <w:rFonts w:ascii="Times New Roman" w:hAnsi="Times New Roman" w:eastAsia="仿宋_GB2312"/>
          <w:sz w:val="32"/>
          <w:szCs w:val="32"/>
        </w:rPr>
        <w:fldChar w:fldCharType="end"/>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Cs/>
          <w:sz w:val="32"/>
          <w:szCs w:val="32"/>
        </w:rPr>
        <w:t xml:space="preserve">   </w:t>
      </w:r>
    </w:p>
    <w:p>
      <w:pPr>
        <w:autoSpaceDE w:val="0"/>
        <w:spacing w:line="360" w:lineRule="auto"/>
        <w:ind w:firstLine="640" w:firstLineChars="200"/>
        <w:rPr>
          <w:rFonts w:ascii="Times New Roman" w:hAnsi="Times New Roman" w:eastAsia="仿宋_GB2312"/>
          <w:sz w:val="32"/>
          <w:szCs w:val="32"/>
          <w:lang w:bidi="ar"/>
        </w:rPr>
      </w:pPr>
      <w:r>
        <w:rPr>
          <w:rFonts w:hint="default" w:ascii="Times New Roman" w:hAnsi="Times New Roman" w:eastAsia="仿宋_GB2312"/>
          <w:sz w:val="32"/>
          <w:szCs w:val="32"/>
          <w:lang w:bidi="ar"/>
        </w:rPr>
        <w:t>如在使用“测报系统”中遇到技术问题</w:t>
      </w:r>
      <w:r>
        <w:rPr>
          <w:rFonts w:hint="eastAsia" w:ascii="Times New Roman" w:hAnsi="Times New Roman" w:eastAsia="仿宋_GB2312"/>
          <w:sz w:val="32"/>
          <w:szCs w:val="32"/>
          <w:lang w:bidi="ar"/>
        </w:rPr>
        <w:t>，</w:t>
      </w:r>
      <w:r>
        <w:rPr>
          <w:rFonts w:hint="default" w:ascii="Times New Roman" w:hAnsi="Times New Roman" w:eastAsia="仿宋_GB2312"/>
          <w:sz w:val="32"/>
          <w:szCs w:val="32"/>
          <w:lang w:bidi="ar"/>
        </w:rPr>
        <w:t>可咨询苏州捷安信息科技有限公司，张慧慧，</w:t>
      </w:r>
      <w:r>
        <w:rPr>
          <w:rFonts w:ascii="Times New Roman" w:hAnsi="Times New Roman" w:eastAsia="仿宋_GB2312"/>
          <w:sz w:val="32"/>
          <w:szCs w:val="32"/>
          <w:lang w:bidi="ar"/>
        </w:rPr>
        <w:t>17339854366</w:t>
      </w:r>
      <w:r>
        <w:rPr>
          <w:rFonts w:hint="default" w:ascii="Times New Roman" w:hAnsi="Times New Roman" w:eastAsia="仿宋_GB2312"/>
          <w:sz w:val="32"/>
          <w:szCs w:val="32"/>
          <w:lang w:bidi="ar"/>
        </w:rPr>
        <w:t>；沈桂松，17319882330。</w:t>
      </w:r>
    </w:p>
    <w:p>
      <w:pPr>
        <w:pStyle w:val="23"/>
        <w:widowControl/>
        <w:autoSpaceDE w:val="0"/>
        <w:spacing w:line="360" w:lineRule="auto"/>
        <w:ind w:firstLine="643"/>
        <w:rPr>
          <w:rFonts w:ascii="Times New Roman" w:hAnsi="Times New Roman" w:eastAsia="楷体"/>
          <w:b/>
          <w:sz w:val="32"/>
          <w:szCs w:val="32"/>
        </w:rPr>
      </w:pPr>
    </w:p>
    <w:p>
      <w:pPr>
        <w:pStyle w:val="6"/>
        <w:adjustRightInd w:val="0"/>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附件：1.《国家水生动物疫病监测计划》技术规范</w:t>
      </w:r>
    </w:p>
    <w:p>
      <w:pPr>
        <w:pStyle w:val="6"/>
        <w:adjustRightInd w:val="0"/>
        <w:spacing w:before="0" w:beforeAutospacing="0" w:after="0" w:afterAutospacing="0" w:line="360" w:lineRule="auto"/>
        <w:ind w:firstLine="1920" w:firstLineChars="6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（第四版）（鱼类）</w:t>
      </w:r>
    </w:p>
    <w:p>
      <w:pPr>
        <w:pStyle w:val="6"/>
        <w:adjustRightInd w:val="0"/>
        <w:spacing w:before="0" w:beforeAutospacing="0" w:after="0" w:afterAutospacing="0" w:line="360" w:lineRule="auto"/>
        <w:ind w:left="1289" w:leftChars="614" w:firstLine="320" w:firstLineChars="1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2.《国家水生动物疫病监测计划》技术规范</w:t>
      </w:r>
    </w:p>
    <w:p>
      <w:pPr>
        <w:pStyle w:val="6"/>
        <w:adjustRightInd w:val="0"/>
        <w:spacing w:before="0" w:beforeAutospacing="0" w:after="0" w:afterAutospacing="0" w:line="360" w:lineRule="auto"/>
        <w:ind w:left="1289" w:leftChars="614"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（第四版）（虾类）</w:t>
      </w:r>
    </w:p>
    <w:p>
      <w:pPr>
        <w:pStyle w:val="6"/>
        <w:adjustRightInd w:val="0"/>
        <w:spacing w:before="0" w:beforeAutospacing="0" w:after="0" w:afterAutospacing="0" w:line="360" w:lineRule="auto"/>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3.有关单位工作安排</w:t>
      </w:r>
    </w:p>
    <w:p>
      <w:pPr>
        <w:pStyle w:val="6"/>
        <w:adjustRightInd w:val="0"/>
        <w:spacing w:before="0" w:beforeAutospacing="0" w:after="0" w:afterAutospacing="0" w:line="360" w:lineRule="auto"/>
        <w:ind w:left="1905" w:leftChars="755" w:hanging="320" w:hangingChars="1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.《202</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年国家水生动物疫病监测计划》首席专家和参考实验室名单</w:t>
      </w:r>
    </w:p>
    <w:p>
      <w:pPr>
        <w:ind w:firstLine="1600" w:firstLineChars="500"/>
        <w:rPr>
          <w:rFonts w:ascii="Times New Roman" w:hAnsi="Times New Roman" w:eastAsia="仿宋_GB2312" w:cs="Times New Roman"/>
          <w:sz w:val="32"/>
          <w:szCs w:val="32"/>
        </w:rPr>
      </w:pPr>
      <w:r>
        <w:rPr>
          <w:rFonts w:ascii="Times New Roman" w:hAnsi="Times New Roman" w:eastAsia="仿宋_GB2312"/>
          <w:sz w:val="32"/>
          <w:szCs w:val="32"/>
        </w:rPr>
        <w:t>5</w:t>
      </w:r>
      <w:r>
        <w:rPr>
          <w:rFonts w:hint="default" w:ascii="Times New Roman" w:hAnsi="Times New Roman" w:eastAsia="仿宋_GB2312"/>
          <w:sz w:val="32"/>
          <w:szCs w:val="32"/>
        </w:rPr>
        <w:t>.</w:t>
      </w:r>
      <w:r>
        <w:rPr>
          <w:rFonts w:hint="default" w:ascii="Times New Roman" w:hAnsi="Times New Roman" w:eastAsia="仿宋_GB2312"/>
          <w:bCs/>
          <w:sz w:val="32"/>
          <w:szCs w:val="32"/>
        </w:rPr>
        <w:t>动物疫情监测与防治项目</w:t>
      </w:r>
      <w:r>
        <w:rPr>
          <w:rFonts w:ascii="Times New Roman" w:hAnsi="Times New Roman" w:eastAsia="仿宋_GB2312" w:cs="Times New Roman"/>
          <w:sz w:val="32"/>
          <w:szCs w:val="32"/>
        </w:rPr>
        <w:t>效能评价表</w:t>
      </w:r>
    </w:p>
    <w:p>
      <w:pPr>
        <w:ind w:firstLine="1600" w:firstLineChars="5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预报信息格式</w:t>
      </w:r>
    </w:p>
    <w:p>
      <w:pPr>
        <w:ind w:firstLine="1600" w:firstLineChars="500"/>
        <w:rPr>
          <w:rFonts w:ascii="Times New Roman" w:hAnsi="Times New Roman" w:eastAsia="仿宋_GB2312" w:cs="Times New Roman"/>
          <w:sz w:val="32"/>
          <w:szCs w:val="32"/>
        </w:rPr>
      </w:pPr>
    </w:p>
    <w:p>
      <w:pPr>
        <w:pStyle w:val="16"/>
        <w:ind w:firstLine="0" w:firstLineChars="0"/>
        <w:rPr>
          <w:rFonts w:ascii="Times New Roman" w:hAnsi="Times New Roman" w:eastAsia="仿宋_GB2312"/>
          <w:b/>
          <w:sz w:val="32"/>
          <w:szCs w:val="32"/>
        </w:rPr>
      </w:pPr>
    </w:p>
    <w:p>
      <w:pPr>
        <w:pStyle w:val="16"/>
        <w:ind w:firstLine="0" w:firstLineChars="0"/>
        <w:rPr>
          <w:rFonts w:ascii="Times New Roman" w:hAnsi="Times New Roman" w:eastAsia="黑体" w:cs="Times New Roman"/>
          <w:bCs/>
          <w:sz w:val="32"/>
          <w:szCs w:val="32"/>
        </w:rPr>
      </w:pPr>
    </w:p>
    <w:p>
      <w:pPr>
        <w:pStyle w:val="16"/>
        <w:ind w:firstLine="0" w:firstLineChars="0"/>
        <w:rPr>
          <w:rFonts w:ascii="Times New Roman" w:hAnsi="Times New Roman" w:eastAsia="黑体" w:cs="Times New Roman"/>
          <w:bCs/>
          <w:sz w:val="32"/>
          <w:szCs w:val="32"/>
        </w:rPr>
      </w:pPr>
    </w:p>
    <w:p>
      <w:pPr>
        <w:pStyle w:val="16"/>
        <w:ind w:firstLine="0" w:firstLineChars="0"/>
        <w:rPr>
          <w:rFonts w:ascii="Times New Roman" w:hAnsi="Times New Roman" w:eastAsia="黑体" w:cs="Times New Roman"/>
          <w:bCs/>
          <w:sz w:val="32"/>
          <w:szCs w:val="32"/>
        </w:rPr>
      </w:pPr>
    </w:p>
    <w:p>
      <w:pPr>
        <w:pStyle w:val="16"/>
        <w:ind w:firstLine="0" w:firstLineChars="0"/>
        <w:rPr>
          <w:rFonts w:ascii="Times New Roman" w:hAnsi="Times New Roman" w:eastAsia="黑体" w:cs="Times New Roman"/>
          <w:bCs/>
          <w:sz w:val="32"/>
          <w:szCs w:val="32"/>
        </w:rPr>
      </w:pPr>
    </w:p>
    <w:p>
      <w:pPr>
        <w:pStyle w:val="16"/>
        <w:ind w:firstLine="0" w:firstLineChars="0"/>
        <w:rPr>
          <w:rFonts w:ascii="Times New Roman" w:hAnsi="Times New Roman" w:eastAsia="黑体" w:cs="Times New Roman"/>
          <w:bCs/>
          <w:sz w:val="32"/>
          <w:szCs w:val="32"/>
        </w:rPr>
      </w:pPr>
    </w:p>
    <w:p>
      <w:pPr>
        <w:pStyle w:val="16"/>
        <w:ind w:firstLine="0" w:firstLineChars="0"/>
        <w:rPr>
          <w:rFonts w:ascii="Times New Roman" w:hAnsi="Times New Roman" w:eastAsia="黑体" w:cs="Times New Roman"/>
          <w:bCs/>
          <w:sz w:val="32"/>
          <w:szCs w:val="32"/>
        </w:rPr>
      </w:pPr>
    </w:p>
    <w:p>
      <w:pPr>
        <w:pStyle w:val="16"/>
        <w:ind w:firstLine="0" w:firstLineChars="0"/>
        <w:rPr>
          <w:rFonts w:ascii="Times New Roman" w:hAnsi="Times New Roman" w:eastAsia="黑体" w:cs="Times New Roman"/>
          <w:bCs/>
          <w:sz w:val="32"/>
          <w:szCs w:val="32"/>
        </w:rPr>
      </w:pPr>
    </w:p>
    <w:p>
      <w:pPr>
        <w:pStyle w:val="16"/>
        <w:ind w:firstLine="0" w:firstLineChars="0"/>
        <w:rPr>
          <w:rFonts w:hint="default" w:ascii="Times New Roman" w:hAnsi="Times New Roman" w:eastAsia="黑体" w:cs="Times New Roman"/>
          <w:bCs/>
          <w:sz w:val="32"/>
          <w:szCs w:val="32"/>
        </w:rPr>
      </w:pPr>
    </w:p>
    <w:p>
      <w:pPr>
        <w:pStyle w:val="16"/>
        <w:ind w:firstLine="0" w:firstLineChars="0"/>
        <w:rPr>
          <w:rFonts w:hint="default" w:ascii="Times New Roman" w:hAnsi="Times New Roman" w:eastAsia="黑体" w:cs="Times New Roman"/>
          <w:bCs/>
          <w:sz w:val="32"/>
          <w:szCs w:val="32"/>
        </w:rPr>
      </w:pPr>
    </w:p>
    <w:p>
      <w:pPr>
        <w:ind w:firstLine="1600" w:firstLineChars="500"/>
        <w:rPr>
          <w:rFonts w:ascii="仿宋_GB2312" w:hAnsi="仿宋_GB2312" w:eastAsia="仿宋_GB2312" w:cs="仿宋_GB2312"/>
          <w:sz w:val="32"/>
          <w:szCs w:val="32"/>
        </w:rPr>
      </w:pPr>
    </w:p>
    <w:p>
      <w:pPr>
        <w:pStyle w:val="16"/>
        <w:ind w:firstLine="0" w:firstLineChars="0"/>
        <w:rPr>
          <w:rFonts w:ascii="仿宋_GB2312" w:hAnsi="宋体" w:eastAsia="仿宋_GB2312"/>
          <w:b/>
          <w:sz w:val="32"/>
          <w:szCs w:val="32"/>
        </w:rPr>
      </w:pPr>
    </w:p>
    <w:p>
      <w:pPr>
        <w:pStyle w:val="16"/>
        <w:ind w:firstLine="0" w:firstLineChars="0"/>
        <w:rPr>
          <w:rFonts w:ascii="黑体" w:hAnsi="黑体" w:eastAsia="黑体" w:cs="黑体"/>
          <w:bCs/>
          <w:sz w:val="32"/>
          <w:szCs w:val="32"/>
        </w:rPr>
      </w:pPr>
      <w:r>
        <w:rPr>
          <w:rFonts w:hint="eastAsia" w:ascii="黑体" w:hAnsi="黑体" w:eastAsia="黑体" w:cs="黑体"/>
          <w:bCs/>
          <w:sz w:val="32"/>
          <w:szCs w:val="32"/>
          <w:lang w:val="en-US" w:eastAsia="zh-CN"/>
        </w:rPr>
        <w:t>附</w:t>
      </w:r>
      <w:r>
        <w:rPr>
          <w:rFonts w:hint="eastAsia" w:ascii="黑体" w:hAnsi="黑体" w:eastAsia="黑体" w:cs="黑体"/>
          <w:bCs/>
          <w:sz w:val="32"/>
          <w:szCs w:val="32"/>
        </w:rPr>
        <w:t>件</w:t>
      </w:r>
      <w:r>
        <w:rPr>
          <w:rFonts w:ascii="黑体" w:hAnsi="黑体" w:eastAsia="黑体" w:cs="黑体"/>
          <w:bCs/>
          <w:sz w:val="32"/>
          <w:szCs w:val="32"/>
        </w:rPr>
        <w:t>3</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有关单位工作安排</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2410"/>
        <w:gridCol w:w="5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Align w:val="center"/>
          </w:tcPr>
          <w:p>
            <w:pPr>
              <w:pStyle w:val="6"/>
              <w:adjustRightInd w:val="0"/>
              <w:spacing w:before="0" w:beforeAutospacing="0" w:after="0" w:afterAutospacing="0" w:line="360" w:lineRule="auto"/>
              <w:jc w:val="both"/>
              <w:rPr>
                <w:rFonts w:ascii="Times New Roman" w:hAnsi="仿宋_GB2312" w:eastAsia="仿宋_GB2312" w:cs="Times New Roman"/>
                <w:sz w:val="32"/>
                <w:szCs w:val="32"/>
              </w:rPr>
            </w:pPr>
          </w:p>
        </w:tc>
        <w:tc>
          <w:tcPr>
            <w:tcW w:w="2410" w:type="dxa"/>
            <w:vAlign w:val="center"/>
          </w:tcPr>
          <w:p>
            <w:pPr>
              <w:pStyle w:val="6"/>
              <w:adjustRightInd w:val="0"/>
              <w:spacing w:before="0" w:beforeAutospacing="0" w:after="0" w:afterAutospacing="0"/>
              <w:jc w:val="center"/>
              <w:rPr>
                <w:rFonts w:ascii="黑体" w:hAnsi="黑体" w:eastAsia="黑体" w:cs="Times New Roman"/>
              </w:rPr>
            </w:pPr>
            <w:r>
              <w:rPr>
                <w:rFonts w:hint="eastAsia" w:ascii="黑体" w:hAnsi="黑体" w:eastAsia="黑体" w:cs="Times New Roman"/>
              </w:rPr>
              <w:t>单位</w:t>
            </w:r>
          </w:p>
        </w:tc>
        <w:tc>
          <w:tcPr>
            <w:tcW w:w="5324" w:type="dxa"/>
            <w:vAlign w:val="center"/>
          </w:tcPr>
          <w:p>
            <w:pPr>
              <w:pStyle w:val="6"/>
              <w:adjustRightInd w:val="0"/>
              <w:spacing w:before="0" w:beforeAutospacing="0" w:after="0" w:afterAutospacing="0"/>
              <w:jc w:val="center"/>
              <w:rPr>
                <w:rFonts w:ascii="黑体" w:hAnsi="黑体" w:eastAsia="黑体" w:cs="Times New Roman"/>
              </w:rPr>
            </w:pPr>
            <w:r>
              <w:rPr>
                <w:rFonts w:hint="eastAsia" w:ascii="黑体" w:hAnsi="黑体" w:eastAsia="黑体" w:cs="Times New Roman"/>
              </w:rPr>
              <w:t>工作安排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62" w:type="dxa"/>
            <w:vAlign w:val="center"/>
          </w:tcPr>
          <w:p>
            <w:pPr>
              <w:pStyle w:val="6"/>
              <w:adjustRightInd w:val="0"/>
              <w:spacing w:before="0" w:beforeAutospacing="0" w:after="0" w:afterAutospacing="0" w:line="360" w:lineRule="auto"/>
              <w:jc w:val="center"/>
              <w:rPr>
                <w:rFonts w:ascii="仿宋_GB2312" w:hAnsi="仿宋_GB2312" w:eastAsia="仿宋_GB2312" w:cs="Times New Roman"/>
              </w:rPr>
            </w:pPr>
            <w:r>
              <w:rPr>
                <w:rFonts w:hint="eastAsia" w:ascii="仿宋_GB2312" w:hAnsi="仿宋_GB2312" w:eastAsia="仿宋_GB2312" w:cs="Times New Roman"/>
              </w:rPr>
              <w:t>1</w:t>
            </w:r>
          </w:p>
        </w:tc>
        <w:tc>
          <w:tcPr>
            <w:tcW w:w="2410" w:type="dxa"/>
            <w:vAlign w:val="center"/>
          </w:tcPr>
          <w:p>
            <w:pPr>
              <w:pStyle w:val="6"/>
              <w:adjustRightInd w:val="0"/>
              <w:spacing w:before="0" w:beforeAutospacing="0" w:after="0" w:afterAutospacing="0"/>
              <w:jc w:val="center"/>
              <w:rPr>
                <w:rFonts w:cs="Times New Roman" w:asciiTheme="minorEastAsia" w:hAnsiTheme="minorEastAsia" w:eastAsiaTheme="minorEastAsia"/>
              </w:rPr>
            </w:pPr>
            <w:r>
              <w:rPr>
                <w:rFonts w:hint="eastAsia" w:cs="仿宋_GB2312" w:asciiTheme="minorEastAsia" w:hAnsiTheme="minorEastAsia" w:eastAsiaTheme="minorEastAsia"/>
              </w:rPr>
              <w:t>中国水产科学研究院黑龙江水产研究所</w:t>
            </w:r>
          </w:p>
        </w:tc>
        <w:tc>
          <w:tcPr>
            <w:tcW w:w="5324" w:type="dxa"/>
            <w:vAlign w:val="center"/>
          </w:tcPr>
          <w:p>
            <w:pPr>
              <w:pStyle w:val="6"/>
              <w:adjustRightInd w:val="0"/>
              <w:spacing w:before="0" w:beforeAutospacing="0" w:after="0" w:afterAutospacing="0"/>
              <w:jc w:val="both"/>
              <w:rPr>
                <w:rFonts w:cs="Times New Roman" w:asciiTheme="minorEastAsia" w:hAnsiTheme="minorEastAsia" w:eastAsiaTheme="minorEastAsia"/>
              </w:rPr>
            </w:pPr>
            <w:r>
              <w:rPr>
                <w:rFonts w:hint="eastAsia" w:cs="仿宋_GB2312" w:asciiTheme="minorEastAsia" w:hAnsiTheme="minorEastAsia" w:eastAsiaTheme="minorEastAsia"/>
              </w:rPr>
              <w:t>对传染性胰脏坏死病开展调查</w:t>
            </w:r>
            <w:r>
              <w:rPr>
                <w:rFonts w:hint="eastAsia" w:asciiTheme="minorEastAsia" w:hAnsiTheme="minorEastAsia" w:eastAsia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562" w:type="dxa"/>
            <w:vAlign w:val="center"/>
          </w:tcPr>
          <w:p>
            <w:pPr>
              <w:pStyle w:val="6"/>
              <w:adjustRightInd w:val="0"/>
              <w:spacing w:before="0" w:beforeAutospacing="0" w:after="0" w:afterAutospacing="0" w:line="360" w:lineRule="auto"/>
              <w:jc w:val="center"/>
              <w:rPr>
                <w:rFonts w:ascii="仿宋_GB2312" w:hAnsi="仿宋_GB2312" w:eastAsia="仿宋_GB2312" w:cs="Times New Roman"/>
              </w:rPr>
            </w:pPr>
            <w:r>
              <w:rPr>
                <w:rFonts w:hint="eastAsia" w:ascii="仿宋_GB2312" w:hAnsi="仿宋_GB2312" w:eastAsia="仿宋_GB2312" w:cs="Times New Roman"/>
              </w:rPr>
              <w:t>2</w:t>
            </w:r>
          </w:p>
        </w:tc>
        <w:tc>
          <w:tcPr>
            <w:tcW w:w="2410" w:type="dxa"/>
            <w:vAlign w:val="center"/>
          </w:tcPr>
          <w:p>
            <w:pPr>
              <w:pStyle w:val="6"/>
              <w:adjustRightInd w:val="0"/>
              <w:spacing w:before="0" w:beforeAutospacing="0" w:after="0" w:afterAutospacing="0"/>
              <w:jc w:val="center"/>
              <w:rPr>
                <w:rFonts w:cs="Times New Roman" w:asciiTheme="minorEastAsia" w:hAnsiTheme="minorEastAsia" w:eastAsiaTheme="minorEastAsia"/>
              </w:rPr>
            </w:pPr>
            <w:r>
              <w:rPr>
                <w:rFonts w:hint="eastAsia" w:cs="仿宋_GB2312" w:asciiTheme="minorEastAsia" w:hAnsiTheme="minorEastAsia" w:eastAsiaTheme="minorEastAsia"/>
              </w:rPr>
              <w:t>中国水产科学研究院黄海水产研究所</w:t>
            </w:r>
          </w:p>
        </w:tc>
        <w:tc>
          <w:tcPr>
            <w:tcW w:w="5324" w:type="dxa"/>
            <w:vAlign w:val="center"/>
          </w:tcPr>
          <w:p>
            <w:pPr>
              <w:pStyle w:val="6"/>
              <w:adjustRightInd w:val="0"/>
              <w:spacing w:before="0" w:beforeAutospacing="0" w:after="0" w:afterAutospacing="0"/>
              <w:jc w:val="both"/>
              <w:rPr>
                <w:rFonts w:cs="Times New Roman" w:asciiTheme="minorEastAsia" w:hAnsiTheme="minorEastAsia" w:eastAsiaTheme="minorEastAsia"/>
              </w:rPr>
            </w:pPr>
            <w:r>
              <w:rPr>
                <w:rFonts w:hint="eastAsia" w:cs="仿宋_GB2312" w:asciiTheme="minorEastAsia" w:hAnsiTheme="minorEastAsia" w:eastAsiaTheme="minorEastAsia"/>
              </w:rPr>
              <w:t>对传染性皮下和造血组织坏死病、急性肝胰腺坏死病开展调查</w:t>
            </w:r>
            <w:r>
              <w:rPr>
                <w:rFonts w:hint="eastAsia" w:asciiTheme="minorEastAsia" w:hAnsiTheme="minorEastAsia" w:eastAsiaTheme="minorEastAsia"/>
              </w:rPr>
              <w:t>，并形成分病种的</w:t>
            </w:r>
            <w:r>
              <w:rPr>
                <w:rFonts w:hint="eastAsia" w:cs="仿宋_GB2312" w:asciiTheme="minorEastAsia" w:hAnsiTheme="minorEastAsia" w:eastAsiaTheme="minorEastAsia"/>
              </w:rPr>
              <w:t>风险评估报告。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62" w:type="dxa"/>
            <w:vAlign w:val="center"/>
          </w:tcPr>
          <w:p>
            <w:pPr>
              <w:pStyle w:val="6"/>
              <w:adjustRightInd w:val="0"/>
              <w:spacing w:before="0" w:beforeAutospacing="0" w:after="0" w:afterAutospacing="0" w:line="360" w:lineRule="auto"/>
              <w:jc w:val="center"/>
              <w:rPr>
                <w:rFonts w:ascii="仿宋_GB2312" w:hAnsi="仿宋_GB2312" w:eastAsia="仿宋_GB2312" w:cs="Times New Roman"/>
              </w:rPr>
            </w:pPr>
            <w:r>
              <w:rPr>
                <w:rFonts w:hint="eastAsia" w:ascii="仿宋_GB2312" w:hAnsi="仿宋_GB2312" w:eastAsia="仿宋_GB2312" w:cs="Times New Roman"/>
              </w:rPr>
              <w:t>3</w:t>
            </w:r>
          </w:p>
        </w:tc>
        <w:tc>
          <w:tcPr>
            <w:tcW w:w="2410" w:type="dxa"/>
            <w:vAlign w:val="center"/>
          </w:tcPr>
          <w:p>
            <w:pPr>
              <w:pStyle w:val="6"/>
              <w:adjustRightInd w:val="0"/>
              <w:spacing w:before="0" w:beforeAutospacing="0" w:after="0" w:afterAutospacing="0"/>
              <w:jc w:val="center"/>
              <w:rPr>
                <w:rFonts w:cs="Times New Roman" w:asciiTheme="minorEastAsia" w:hAnsiTheme="minorEastAsia" w:eastAsiaTheme="minorEastAsia"/>
              </w:rPr>
            </w:pPr>
            <w:r>
              <w:rPr>
                <w:rFonts w:hint="eastAsia" w:cs="仿宋_GB2312" w:asciiTheme="minorEastAsia" w:hAnsiTheme="minorEastAsia" w:eastAsiaTheme="minorEastAsia"/>
              </w:rPr>
              <w:t>中国水产科学研究院长江水产研究所</w:t>
            </w:r>
          </w:p>
        </w:tc>
        <w:tc>
          <w:tcPr>
            <w:tcW w:w="5324" w:type="dxa"/>
            <w:vAlign w:val="center"/>
          </w:tcPr>
          <w:p>
            <w:pPr>
              <w:pStyle w:val="6"/>
              <w:adjustRightInd w:val="0"/>
              <w:spacing w:before="0" w:beforeAutospacing="0" w:after="0" w:afterAutospacing="0"/>
              <w:jc w:val="both"/>
              <w:rPr>
                <w:rFonts w:asciiTheme="minorEastAsia" w:hAnsiTheme="minorEastAsia" w:eastAsiaTheme="minorEastAsia"/>
              </w:rPr>
            </w:pPr>
            <w:r>
              <w:rPr>
                <w:rFonts w:hint="eastAsia" w:cs="仿宋_GB2312" w:asciiTheme="minorEastAsia" w:hAnsiTheme="minorEastAsia" w:eastAsiaTheme="minorEastAsia"/>
              </w:rPr>
              <w:t>对传染性皮下和造血组织坏死病、急性肝胰腺坏死病开展调查。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jc w:val="center"/>
        </w:trPr>
        <w:tc>
          <w:tcPr>
            <w:tcW w:w="562" w:type="dxa"/>
            <w:vAlign w:val="center"/>
          </w:tcPr>
          <w:p>
            <w:pPr>
              <w:pStyle w:val="6"/>
              <w:adjustRightInd w:val="0"/>
              <w:spacing w:before="0" w:beforeAutospacing="0" w:after="0" w:afterAutospacing="0" w:line="360" w:lineRule="auto"/>
              <w:jc w:val="center"/>
              <w:rPr>
                <w:rFonts w:ascii="仿宋_GB2312" w:hAnsi="仿宋_GB2312" w:eastAsia="仿宋_GB2312" w:cs="Times New Roman"/>
              </w:rPr>
            </w:pPr>
            <w:r>
              <w:rPr>
                <w:rFonts w:hint="eastAsia" w:ascii="仿宋_GB2312" w:hAnsi="仿宋_GB2312" w:eastAsia="仿宋_GB2312" w:cs="Times New Roman"/>
              </w:rPr>
              <w:t>4</w:t>
            </w:r>
          </w:p>
        </w:tc>
        <w:tc>
          <w:tcPr>
            <w:tcW w:w="2410" w:type="dxa"/>
            <w:vAlign w:val="center"/>
          </w:tcPr>
          <w:p>
            <w:pPr>
              <w:pStyle w:val="6"/>
              <w:adjustRightInd w:val="0"/>
              <w:spacing w:before="0" w:beforeAutospacing="0" w:after="0" w:afterAutospacing="0"/>
              <w:jc w:val="center"/>
              <w:rPr>
                <w:rFonts w:cs="仿宋_GB2312" w:asciiTheme="minorEastAsia" w:hAnsiTheme="minorEastAsia" w:eastAsiaTheme="minorEastAsia"/>
              </w:rPr>
            </w:pPr>
            <w:r>
              <w:rPr>
                <w:rFonts w:hint="eastAsia" w:cs="仿宋_GB2312" w:asciiTheme="minorEastAsia" w:hAnsiTheme="minorEastAsia" w:eastAsiaTheme="minorEastAsia"/>
              </w:rPr>
              <w:t>中国水产科学研究院珠江水产研究所</w:t>
            </w:r>
          </w:p>
        </w:tc>
        <w:tc>
          <w:tcPr>
            <w:tcW w:w="5324" w:type="dxa"/>
            <w:vAlign w:val="center"/>
          </w:tcPr>
          <w:p>
            <w:pPr>
              <w:pStyle w:val="6"/>
              <w:adjustRightInd w:val="0"/>
              <w:spacing w:before="0" w:beforeAutospacing="0" w:after="0" w:afterAutospacing="0"/>
              <w:jc w:val="both"/>
              <w:rPr>
                <w:rFonts w:cs="Times New Roman" w:asciiTheme="minorEastAsia" w:hAnsiTheme="minorEastAsia" w:eastAsiaTheme="minorEastAsia"/>
              </w:rPr>
            </w:pPr>
            <w:r>
              <w:rPr>
                <w:rFonts w:hint="eastAsia" w:cs="仿宋_GB2312" w:asciiTheme="minorEastAsia" w:hAnsiTheme="minorEastAsia" w:eastAsiaTheme="minorEastAsia"/>
              </w:rPr>
              <w:t>对传染性皮下和造血组织坏死病、急性肝胰腺坏死病开展调查；</w:t>
            </w:r>
            <w:r>
              <w:rPr>
                <w:rFonts w:hint="eastAsia" w:asciiTheme="minorEastAsia" w:hAnsiTheme="minorEastAsia" w:eastAsiaTheme="minorEastAsia"/>
              </w:rPr>
              <w:t>对</w:t>
            </w:r>
            <w:r>
              <w:rPr>
                <w:rFonts w:hint="eastAsia" w:cs="仿宋_GB2312" w:asciiTheme="minorEastAsia" w:hAnsiTheme="minorEastAsia" w:eastAsiaTheme="minorEastAsia"/>
              </w:rPr>
              <w:t>草鱼疾病进行研究。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562" w:type="dxa"/>
            <w:vAlign w:val="center"/>
          </w:tcPr>
          <w:p>
            <w:pPr>
              <w:pStyle w:val="6"/>
              <w:adjustRightInd w:val="0"/>
              <w:spacing w:before="0" w:beforeAutospacing="0" w:after="0" w:afterAutospacing="0" w:line="360" w:lineRule="auto"/>
              <w:jc w:val="center"/>
              <w:rPr>
                <w:rFonts w:ascii="仿宋_GB2312" w:hAnsi="仿宋_GB2312" w:eastAsia="仿宋_GB2312" w:cs="Times New Roman"/>
              </w:rPr>
            </w:pPr>
            <w:r>
              <w:rPr>
                <w:rFonts w:hint="eastAsia" w:ascii="仿宋_GB2312" w:hAnsi="仿宋_GB2312" w:eastAsia="仿宋_GB2312" w:cs="Times New Roman"/>
              </w:rPr>
              <w:t>5</w:t>
            </w:r>
          </w:p>
        </w:tc>
        <w:tc>
          <w:tcPr>
            <w:tcW w:w="2410" w:type="dxa"/>
            <w:vAlign w:val="center"/>
          </w:tcPr>
          <w:p>
            <w:pPr>
              <w:pStyle w:val="6"/>
              <w:adjustRightInd w:val="0"/>
              <w:spacing w:before="0" w:beforeAutospacing="0" w:after="0" w:afterAutospacing="0"/>
              <w:jc w:val="center"/>
              <w:rPr>
                <w:rFonts w:cs="仿宋_GB2312" w:asciiTheme="minorEastAsia" w:hAnsiTheme="minorEastAsia" w:eastAsiaTheme="minorEastAsia"/>
              </w:rPr>
            </w:pPr>
            <w:r>
              <w:rPr>
                <w:rFonts w:hint="eastAsia" w:cs="仿宋_GB2312" w:asciiTheme="minorEastAsia" w:hAnsiTheme="minorEastAsia" w:eastAsiaTheme="minorEastAsia"/>
              </w:rPr>
              <w:t>北京市水产技术推广站</w:t>
            </w:r>
          </w:p>
        </w:tc>
        <w:tc>
          <w:tcPr>
            <w:tcW w:w="5324" w:type="dxa"/>
            <w:vAlign w:val="center"/>
          </w:tcPr>
          <w:p>
            <w:pPr>
              <w:pStyle w:val="6"/>
              <w:adjustRightInd w:val="0"/>
              <w:spacing w:before="0" w:beforeAutospacing="0" w:after="0" w:afterAutospacing="0"/>
              <w:jc w:val="both"/>
              <w:rPr>
                <w:rFonts w:cs="Times New Roman" w:asciiTheme="minorEastAsia" w:hAnsiTheme="minorEastAsia" w:eastAsiaTheme="minorEastAsia"/>
              </w:rPr>
            </w:pPr>
            <w:r>
              <w:rPr>
                <w:rFonts w:hint="eastAsia" w:cs="仿宋_GB2312" w:asciiTheme="minorEastAsia" w:hAnsiTheme="minorEastAsia" w:eastAsiaTheme="minorEastAsia"/>
              </w:rPr>
              <w:t>对传染性胰脏坏死病进行风险评估。</w:t>
            </w:r>
          </w:p>
        </w:tc>
      </w:tr>
    </w:tbl>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6"/>
        <w:adjustRightInd w:val="0"/>
        <w:spacing w:before="0" w:beforeAutospacing="0" w:after="0" w:afterAutospacing="0" w:line="360" w:lineRule="auto"/>
        <w:ind w:firstLine="640" w:firstLineChars="200"/>
        <w:jc w:val="both"/>
        <w:rPr>
          <w:rFonts w:ascii="Times New Roman" w:hAnsi="仿宋_GB2312" w:eastAsia="仿宋_GB2312" w:cs="Times New Roman"/>
          <w:sz w:val="32"/>
          <w:szCs w:val="32"/>
        </w:rPr>
      </w:pPr>
    </w:p>
    <w:p>
      <w:pPr>
        <w:pStyle w:val="16"/>
        <w:ind w:firstLine="0" w:firstLineChars="0"/>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4</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年国家水生动物疫病监测计划》</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首席专家和参考实验室名单</w:t>
      </w:r>
    </w:p>
    <w:p>
      <w:pPr>
        <w:pStyle w:val="6"/>
        <w:snapToGrid w:val="0"/>
        <w:spacing w:before="0" w:beforeAutospacing="0" w:after="0" w:afterAutospacing="0" w:line="360" w:lineRule="auto"/>
        <w:ind w:firstLine="640" w:firstLineChars="200"/>
        <w:jc w:val="both"/>
        <w:rPr>
          <w:rFonts w:ascii="Times New Roman" w:hAnsi="Times New Roman" w:eastAsia="黑体" w:cs="Times New Roman"/>
          <w:sz w:val="32"/>
          <w:szCs w:val="32"/>
        </w:rPr>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一、鲤春病毒血症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首席专家：刘荭研究员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参考实验室：深圳海关动植物检验检疫技术中心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联系电话：0</w:t>
      </w:r>
      <w:r>
        <w:rPr>
          <w:rFonts w:ascii="仿宋" w:hAnsi="仿宋" w:eastAsia="仿宋"/>
          <w:sz w:val="32"/>
          <w:szCs w:val="32"/>
        </w:rPr>
        <w:t>755-</w:t>
      </w:r>
      <w:r>
        <w:t xml:space="preserve"> </w:t>
      </w:r>
      <w:r>
        <w:rPr>
          <w:rFonts w:ascii="仿宋" w:hAnsi="仿宋" w:eastAsia="仿宋"/>
          <w:sz w:val="32"/>
          <w:szCs w:val="32"/>
        </w:rPr>
        <w:t>25589661</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二、白斑综合征、虾肝肠胞虫病、十足目虹彩病毒病、传染性皮下和造血组织坏死病、急性肝胰腺坏死病、传染性肌坏死病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首席专家：张庆利研究员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参考实验室：中国水产科学研究院黄海水产研究所养殖生物疾病控制与分子病理学研究室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联系电话：0532—85823062</w:t>
      </w:r>
    </w:p>
    <w:p>
      <w:pPr>
        <w:spacing w:line="360" w:lineRule="auto"/>
        <w:ind w:firstLine="645"/>
        <w:rPr>
          <w:rFonts w:ascii="黑体" w:hAnsi="黑体" w:eastAsia="黑体"/>
          <w:sz w:val="32"/>
          <w:szCs w:val="32"/>
        </w:rPr>
      </w:pPr>
      <w:r>
        <w:rPr>
          <w:rFonts w:hint="eastAsia" w:ascii="黑体" w:hAnsi="黑体" w:eastAsia="黑体"/>
          <w:sz w:val="32"/>
          <w:szCs w:val="32"/>
        </w:rPr>
        <w:t>三、病毒性神经坏死病</w:t>
      </w:r>
    </w:p>
    <w:p>
      <w:pPr>
        <w:spacing w:line="360" w:lineRule="auto"/>
        <w:ind w:firstLine="645"/>
        <w:rPr>
          <w:rFonts w:ascii="仿宋" w:hAnsi="仿宋" w:eastAsia="仿宋"/>
          <w:sz w:val="32"/>
          <w:szCs w:val="32"/>
        </w:rPr>
      </w:pPr>
      <w:r>
        <w:rPr>
          <w:rFonts w:hint="eastAsia" w:ascii="仿宋" w:hAnsi="仿宋" w:eastAsia="仿宋"/>
          <w:sz w:val="32"/>
          <w:szCs w:val="32"/>
        </w:rPr>
        <w:t>首席专家：樊海平研究员</w:t>
      </w:r>
    </w:p>
    <w:p>
      <w:pPr>
        <w:spacing w:line="360" w:lineRule="auto"/>
        <w:ind w:firstLine="645"/>
        <w:rPr>
          <w:rFonts w:ascii="仿宋" w:hAnsi="仿宋" w:eastAsia="仿宋"/>
          <w:sz w:val="32"/>
          <w:szCs w:val="32"/>
        </w:rPr>
      </w:pPr>
      <w:r>
        <w:rPr>
          <w:rFonts w:hint="eastAsia" w:ascii="仿宋" w:hAnsi="仿宋" w:eastAsia="仿宋"/>
          <w:sz w:val="32"/>
          <w:szCs w:val="32"/>
        </w:rPr>
        <w:t>参考实验室：福建省淡水水产研究所水产动物病害防治研究室</w:t>
      </w:r>
    </w:p>
    <w:p>
      <w:pPr>
        <w:spacing w:line="360" w:lineRule="auto"/>
        <w:ind w:firstLine="645"/>
        <w:rPr>
          <w:rFonts w:ascii="仿宋" w:hAnsi="仿宋" w:eastAsia="仿宋"/>
          <w:sz w:val="32"/>
          <w:szCs w:val="32"/>
        </w:rPr>
      </w:pPr>
      <w:r>
        <w:rPr>
          <w:rFonts w:hint="eastAsia" w:ascii="仿宋" w:hAnsi="仿宋" w:eastAsia="仿宋"/>
          <w:sz w:val="32"/>
          <w:szCs w:val="32"/>
        </w:rPr>
        <w:t>联系电话：0591—83732007</w:t>
      </w:r>
    </w:p>
    <w:p>
      <w:pPr>
        <w:pStyle w:val="6"/>
        <w:spacing w:before="0" w:beforeAutospacing="0" w:after="0" w:afterAutospacing="0" w:line="360" w:lineRule="auto"/>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四、传染性造血器官坏死病、鲤浮肿病</w:t>
      </w:r>
      <w:r>
        <w:rPr>
          <w:rFonts w:hint="eastAsia" w:ascii="Times New Roman" w:hAnsi="Times New Roman" w:eastAsia="黑体" w:cs="Times New Roman"/>
          <w:sz w:val="32"/>
          <w:szCs w:val="32"/>
        </w:rPr>
        <w:t>、</w:t>
      </w:r>
      <w:r>
        <w:rPr>
          <w:rFonts w:ascii="Times New Roman" w:hAnsi="Times New Roman" w:eastAsia="黑体" w:cs="Times New Roman"/>
          <w:sz w:val="32"/>
          <w:szCs w:val="32"/>
        </w:rPr>
        <w:t>传染性胰脏坏死病</w:t>
      </w:r>
    </w:p>
    <w:p>
      <w:pPr>
        <w:pStyle w:val="6"/>
        <w:spacing w:before="0" w:beforeAutospacing="0" w:after="0" w:afterAutospacing="0" w:line="360" w:lineRule="auto"/>
        <w:ind w:firstLine="640" w:firstLineChars="200"/>
        <w:jc w:val="both"/>
        <w:rPr>
          <w:rFonts w:ascii="仿宋" w:hAnsi="仿宋" w:eastAsia="仿宋" w:cs="Times New Roman"/>
          <w:sz w:val="32"/>
          <w:szCs w:val="32"/>
        </w:rPr>
      </w:pPr>
      <w:r>
        <w:rPr>
          <w:rFonts w:ascii="仿宋" w:hAnsi="仿宋" w:eastAsia="仿宋" w:cs="Times New Roman"/>
          <w:sz w:val="32"/>
          <w:szCs w:val="32"/>
        </w:rPr>
        <w:t>首席专家：徐立蒲研究员</w:t>
      </w:r>
    </w:p>
    <w:p>
      <w:pPr>
        <w:spacing w:line="360" w:lineRule="auto"/>
        <w:ind w:firstLine="645"/>
        <w:rPr>
          <w:rFonts w:ascii="仿宋" w:hAnsi="仿宋" w:eastAsia="仿宋"/>
          <w:sz w:val="32"/>
          <w:szCs w:val="32"/>
        </w:rPr>
      </w:pPr>
      <w:r>
        <w:rPr>
          <w:rFonts w:ascii="仿宋" w:hAnsi="仿宋" w:eastAsia="仿宋"/>
          <w:sz w:val="32"/>
          <w:szCs w:val="32"/>
        </w:rPr>
        <w:t>参考实验室：北京市水产技术推广站鱼病实验室</w:t>
      </w:r>
    </w:p>
    <w:p>
      <w:pPr>
        <w:spacing w:line="360" w:lineRule="auto"/>
        <w:ind w:firstLine="645"/>
        <w:rPr>
          <w:rFonts w:ascii="仿宋" w:hAnsi="仿宋" w:eastAsia="仿宋"/>
          <w:sz w:val="32"/>
          <w:szCs w:val="32"/>
        </w:rPr>
      </w:pPr>
      <w:r>
        <w:rPr>
          <w:rFonts w:ascii="仿宋" w:hAnsi="仿宋" w:eastAsia="仿宋"/>
          <w:sz w:val="32"/>
          <w:szCs w:val="32"/>
        </w:rPr>
        <w:t>联系电话：010</w:t>
      </w:r>
      <w:r>
        <w:rPr>
          <w:rFonts w:hint="eastAsia" w:ascii="仿宋" w:hAnsi="仿宋" w:eastAsia="仿宋"/>
          <w:sz w:val="32"/>
          <w:szCs w:val="32"/>
        </w:rPr>
        <w:t>—87702634</w:t>
      </w:r>
    </w:p>
    <w:p>
      <w:pPr>
        <w:pStyle w:val="6"/>
        <w:spacing w:before="0" w:beforeAutospacing="0" w:after="0" w:afterAutospacing="0" w:line="360" w:lineRule="auto"/>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五、锦鲤疱疹病毒病</w:t>
      </w:r>
    </w:p>
    <w:p>
      <w:pPr>
        <w:pStyle w:val="6"/>
        <w:spacing w:before="0" w:beforeAutospacing="0" w:after="0" w:afterAutospacing="0" w:line="360" w:lineRule="auto"/>
        <w:ind w:firstLine="640" w:firstLineChars="200"/>
        <w:jc w:val="both"/>
        <w:rPr>
          <w:rFonts w:ascii="仿宋" w:hAnsi="仿宋" w:eastAsia="仿宋" w:cs="Times New Roman"/>
          <w:sz w:val="32"/>
          <w:szCs w:val="32"/>
        </w:rPr>
      </w:pPr>
      <w:r>
        <w:rPr>
          <w:rFonts w:ascii="仿宋" w:hAnsi="仿宋" w:eastAsia="仿宋" w:cs="Times New Roman"/>
          <w:sz w:val="32"/>
          <w:szCs w:val="32"/>
        </w:rPr>
        <w:t>首席专家：</w:t>
      </w:r>
      <w:r>
        <w:rPr>
          <w:rFonts w:hint="eastAsia" w:ascii="仿宋" w:hAnsi="仿宋" w:eastAsia="仿宋" w:cs="Times New Roman"/>
          <w:sz w:val="32"/>
          <w:szCs w:val="32"/>
        </w:rPr>
        <w:t>张朝晖</w:t>
      </w:r>
      <w:r>
        <w:rPr>
          <w:rFonts w:ascii="仿宋" w:hAnsi="仿宋" w:eastAsia="仿宋" w:cs="Times New Roman"/>
          <w:sz w:val="32"/>
          <w:szCs w:val="32"/>
        </w:rPr>
        <w:t>研究员</w:t>
      </w:r>
    </w:p>
    <w:p>
      <w:pPr>
        <w:spacing w:line="360" w:lineRule="auto"/>
        <w:ind w:firstLine="645"/>
        <w:rPr>
          <w:rFonts w:ascii="仿宋" w:hAnsi="仿宋" w:eastAsia="仿宋"/>
          <w:sz w:val="32"/>
          <w:szCs w:val="32"/>
        </w:rPr>
      </w:pPr>
      <w:r>
        <w:rPr>
          <w:rFonts w:ascii="仿宋" w:hAnsi="仿宋" w:eastAsia="仿宋"/>
          <w:sz w:val="32"/>
          <w:szCs w:val="32"/>
        </w:rPr>
        <w:t>参考实验室：江苏省水生动物疫病预防控制中心实验室</w:t>
      </w:r>
    </w:p>
    <w:p>
      <w:pPr>
        <w:spacing w:line="360" w:lineRule="auto"/>
        <w:ind w:firstLine="645"/>
        <w:rPr>
          <w:rFonts w:ascii="仿宋" w:hAnsi="仿宋" w:eastAsia="仿宋"/>
          <w:sz w:val="32"/>
          <w:szCs w:val="32"/>
        </w:rPr>
      </w:pPr>
      <w:r>
        <w:rPr>
          <w:rFonts w:ascii="仿宋" w:hAnsi="仿宋" w:eastAsia="仿宋"/>
          <w:sz w:val="32"/>
          <w:szCs w:val="32"/>
        </w:rPr>
        <w:t>联系电话：025-86903001</w:t>
      </w:r>
    </w:p>
    <w:p>
      <w:pPr>
        <w:spacing w:line="360" w:lineRule="auto"/>
        <w:ind w:firstLine="645"/>
        <w:rPr>
          <w:rFonts w:ascii="Times New Roman" w:hAnsi="Times New Roman" w:eastAsia="黑体" w:cs="Times New Roman"/>
          <w:sz w:val="32"/>
          <w:szCs w:val="32"/>
        </w:rPr>
      </w:pPr>
      <w:r>
        <w:rPr>
          <w:rFonts w:ascii="Times New Roman" w:hAnsi="Times New Roman" w:eastAsia="黑体" w:cs="Times New Roman"/>
          <w:sz w:val="32"/>
          <w:szCs w:val="32"/>
        </w:rPr>
        <w:t>六、</w:t>
      </w:r>
      <w:r>
        <w:rPr>
          <w:rFonts w:hint="eastAsia" w:ascii="Times New Roman" w:hAnsi="Times New Roman" w:eastAsia="黑体" w:cs="Times New Roman"/>
          <w:sz w:val="32"/>
          <w:szCs w:val="32"/>
        </w:rPr>
        <w:t>鲫造血器官坏死</w:t>
      </w:r>
      <w:r>
        <w:rPr>
          <w:rFonts w:ascii="Times New Roman" w:hAnsi="Times New Roman" w:eastAsia="黑体" w:cs="Times New Roman"/>
          <w:sz w:val="32"/>
          <w:szCs w:val="32"/>
        </w:rPr>
        <w:t>病</w:t>
      </w:r>
    </w:p>
    <w:p>
      <w:pPr>
        <w:pStyle w:val="6"/>
        <w:spacing w:before="0" w:beforeAutospacing="0" w:after="0" w:afterAutospacing="0" w:line="360" w:lineRule="auto"/>
        <w:ind w:firstLine="640" w:firstLineChars="200"/>
        <w:jc w:val="both"/>
        <w:rPr>
          <w:rFonts w:ascii="仿宋" w:hAnsi="仿宋" w:eastAsia="仿宋" w:cs="Times New Roman"/>
          <w:sz w:val="32"/>
          <w:szCs w:val="32"/>
        </w:rPr>
      </w:pPr>
      <w:r>
        <w:rPr>
          <w:rFonts w:ascii="仿宋" w:hAnsi="仿宋" w:eastAsia="仿宋" w:cs="Times New Roman"/>
          <w:sz w:val="32"/>
          <w:szCs w:val="32"/>
        </w:rPr>
        <w:t>首席专家：曾令兵研究员</w:t>
      </w:r>
    </w:p>
    <w:p>
      <w:pPr>
        <w:pStyle w:val="6"/>
        <w:spacing w:before="0" w:beforeAutospacing="0" w:after="0" w:afterAutospacing="0" w:line="360" w:lineRule="auto"/>
        <w:ind w:firstLine="640" w:firstLineChars="200"/>
        <w:jc w:val="both"/>
        <w:rPr>
          <w:rFonts w:ascii="仿宋" w:hAnsi="仿宋" w:eastAsia="仿宋" w:cs="Times New Roman"/>
          <w:sz w:val="32"/>
          <w:szCs w:val="32"/>
        </w:rPr>
      </w:pPr>
      <w:r>
        <w:rPr>
          <w:rFonts w:ascii="仿宋" w:hAnsi="仿宋" w:eastAsia="仿宋" w:cs="Times New Roman"/>
          <w:sz w:val="32"/>
          <w:szCs w:val="32"/>
        </w:rPr>
        <w:t>参考实验室：</w:t>
      </w:r>
      <w:r>
        <w:rPr>
          <w:rFonts w:hint="eastAsia" w:ascii="仿宋" w:hAnsi="仿宋" w:eastAsia="仿宋" w:cs="Times New Roman"/>
          <w:sz w:val="32"/>
          <w:szCs w:val="32"/>
        </w:rPr>
        <w:t>中国水产科学研究院长江水产研究所鱼类病害研究室</w:t>
      </w:r>
    </w:p>
    <w:p>
      <w:pPr>
        <w:pStyle w:val="6"/>
        <w:spacing w:before="0" w:beforeAutospacing="0" w:after="0" w:afterAutospacing="0" w:line="360" w:lineRule="auto"/>
        <w:ind w:firstLine="640" w:firstLineChars="200"/>
        <w:jc w:val="both"/>
        <w:rPr>
          <w:rFonts w:ascii="仿宋" w:hAnsi="仿宋" w:eastAsia="仿宋" w:cs="Times New Roman"/>
          <w:sz w:val="32"/>
          <w:szCs w:val="32"/>
        </w:rPr>
      </w:pPr>
      <w:r>
        <w:rPr>
          <w:rFonts w:ascii="仿宋" w:hAnsi="仿宋" w:eastAsia="仿宋" w:cs="Times New Roman"/>
          <w:sz w:val="32"/>
          <w:szCs w:val="32"/>
        </w:rPr>
        <w:t>联系电话：027</w:t>
      </w:r>
      <w:r>
        <w:rPr>
          <w:rFonts w:hint="eastAsia" w:ascii="仿宋" w:hAnsi="仿宋" w:eastAsia="仿宋" w:cs="Times New Roman"/>
          <w:sz w:val="32"/>
          <w:szCs w:val="32"/>
        </w:rPr>
        <w:t>—</w:t>
      </w:r>
      <w:r>
        <w:rPr>
          <w:rFonts w:ascii="仿宋" w:hAnsi="仿宋" w:eastAsia="仿宋" w:cs="Times New Roman"/>
          <w:sz w:val="32"/>
          <w:szCs w:val="32"/>
        </w:rPr>
        <w:t>81785190</w:t>
      </w:r>
    </w:p>
    <w:p>
      <w:pPr>
        <w:pStyle w:val="6"/>
        <w:spacing w:before="0" w:beforeAutospacing="0" w:after="0" w:afterAutospacing="0" w:line="360" w:lineRule="auto"/>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七、草鱼出血病</w:t>
      </w:r>
    </w:p>
    <w:p>
      <w:pPr>
        <w:pStyle w:val="6"/>
        <w:spacing w:before="0" w:beforeAutospacing="0" w:after="0" w:afterAutospacing="0" w:line="360" w:lineRule="auto"/>
        <w:ind w:firstLine="640" w:firstLineChars="200"/>
        <w:jc w:val="both"/>
        <w:rPr>
          <w:rFonts w:ascii="仿宋" w:hAnsi="仿宋" w:eastAsia="仿宋" w:cs="Times New Roman"/>
          <w:sz w:val="32"/>
          <w:szCs w:val="32"/>
        </w:rPr>
      </w:pPr>
      <w:r>
        <w:rPr>
          <w:rFonts w:ascii="仿宋" w:hAnsi="仿宋" w:eastAsia="仿宋" w:cs="Times New Roman"/>
          <w:sz w:val="32"/>
          <w:szCs w:val="32"/>
        </w:rPr>
        <w:t>首席专家：</w:t>
      </w:r>
      <w:r>
        <w:rPr>
          <w:rFonts w:hint="eastAsia" w:ascii="仿宋" w:hAnsi="仿宋" w:eastAsia="仿宋" w:cs="Times New Roman"/>
          <w:sz w:val="32"/>
          <w:szCs w:val="32"/>
        </w:rPr>
        <w:t>王庆</w:t>
      </w:r>
      <w:r>
        <w:rPr>
          <w:rFonts w:ascii="仿宋" w:hAnsi="仿宋" w:eastAsia="仿宋" w:cs="Times New Roman"/>
          <w:sz w:val="32"/>
          <w:szCs w:val="32"/>
        </w:rPr>
        <w:t>研究员</w:t>
      </w:r>
    </w:p>
    <w:p>
      <w:pPr>
        <w:spacing w:line="360" w:lineRule="auto"/>
        <w:ind w:firstLine="640" w:firstLineChars="200"/>
        <w:rPr>
          <w:rFonts w:ascii="仿宋" w:hAnsi="仿宋" w:eastAsia="仿宋"/>
          <w:sz w:val="32"/>
          <w:szCs w:val="32"/>
        </w:rPr>
      </w:pPr>
      <w:r>
        <w:rPr>
          <w:rFonts w:ascii="仿宋" w:hAnsi="仿宋" w:eastAsia="仿宋"/>
          <w:sz w:val="32"/>
          <w:szCs w:val="32"/>
        </w:rPr>
        <w:t>参考实验室：中国水产科学研究院珠江水产研究所</w:t>
      </w:r>
      <w:r>
        <w:rPr>
          <w:rFonts w:hint="eastAsia" w:ascii="仿宋" w:hAnsi="仿宋" w:eastAsia="仿宋"/>
          <w:sz w:val="32"/>
          <w:szCs w:val="32"/>
        </w:rPr>
        <w:t>水产病害与免疫研究室</w:t>
      </w:r>
      <w:r>
        <w:rPr>
          <w:rFonts w:ascii="仿宋" w:hAnsi="仿宋" w:eastAsia="仿宋"/>
          <w:sz w:val="32"/>
          <w:szCs w:val="32"/>
        </w:rPr>
        <w:t xml:space="preserve">  </w:t>
      </w:r>
    </w:p>
    <w:p>
      <w:pPr>
        <w:spacing w:line="360" w:lineRule="auto"/>
        <w:ind w:firstLine="645"/>
        <w:rPr>
          <w:rFonts w:ascii="仿宋" w:hAnsi="仿宋" w:eastAsia="仿宋"/>
          <w:sz w:val="32"/>
          <w:szCs w:val="32"/>
        </w:rPr>
      </w:pPr>
      <w:r>
        <w:rPr>
          <w:rFonts w:ascii="仿宋" w:hAnsi="仿宋" w:eastAsia="仿宋"/>
          <w:sz w:val="32"/>
          <w:szCs w:val="32"/>
        </w:rPr>
        <w:t>联系电话：020-86538302</w:t>
      </w:r>
    </w:p>
    <w:p>
      <w:pPr>
        <w:pStyle w:val="6"/>
        <w:adjustRightInd w:val="0"/>
        <w:spacing w:before="0" w:beforeAutospacing="0" w:after="0" w:afterAutospacing="0" w:line="360" w:lineRule="auto"/>
        <w:jc w:val="both"/>
        <w:rPr>
          <w:rFonts w:ascii="仿宋" w:hAnsi="仿宋" w:eastAsia="仿宋"/>
          <w:sz w:val="32"/>
          <w:szCs w:val="32"/>
        </w:rPr>
      </w:pPr>
    </w:p>
    <w:p>
      <w:pPr>
        <w:pStyle w:val="6"/>
        <w:adjustRightInd w:val="0"/>
        <w:spacing w:before="0" w:beforeAutospacing="0" w:after="0" w:afterAutospacing="0" w:line="360" w:lineRule="auto"/>
        <w:jc w:val="both"/>
        <w:rPr>
          <w:rFonts w:ascii="仿宋" w:hAnsi="仿宋" w:eastAsia="仿宋"/>
          <w:sz w:val="32"/>
          <w:szCs w:val="32"/>
        </w:rPr>
      </w:pPr>
    </w:p>
    <w:p>
      <w:pPr>
        <w:pStyle w:val="6"/>
        <w:adjustRightInd w:val="0"/>
        <w:spacing w:before="0" w:beforeAutospacing="0" w:after="0" w:afterAutospacing="0" w:line="360" w:lineRule="auto"/>
        <w:jc w:val="both"/>
        <w:rPr>
          <w:rFonts w:ascii="仿宋" w:hAnsi="仿宋" w:eastAsia="仿宋"/>
          <w:sz w:val="32"/>
          <w:szCs w:val="32"/>
        </w:rPr>
      </w:pPr>
    </w:p>
    <w:p>
      <w:pPr>
        <w:pStyle w:val="6"/>
        <w:adjustRightInd w:val="0"/>
        <w:spacing w:before="0" w:beforeAutospacing="0" w:after="0" w:afterAutospacing="0" w:line="360" w:lineRule="auto"/>
        <w:jc w:val="both"/>
        <w:rPr>
          <w:rFonts w:ascii="仿宋" w:hAnsi="仿宋" w:eastAsia="仿宋"/>
          <w:sz w:val="32"/>
          <w:szCs w:val="32"/>
        </w:rPr>
      </w:pPr>
    </w:p>
    <w:p>
      <w:pPr>
        <w:pStyle w:val="6"/>
        <w:adjustRightInd w:val="0"/>
        <w:spacing w:before="0" w:beforeAutospacing="0" w:after="0" w:afterAutospacing="0" w:line="360" w:lineRule="auto"/>
        <w:jc w:val="both"/>
        <w:rPr>
          <w:rFonts w:ascii="仿宋" w:hAnsi="仿宋" w:eastAsia="仿宋"/>
          <w:sz w:val="32"/>
          <w:szCs w:val="32"/>
        </w:rPr>
      </w:pPr>
    </w:p>
    <w:p>
      <w:pPr>
        <w:pStyle w:val="16"/>
        <w:ind w:firstLine="0" w:firstLineChars="0"/>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5</w:t>
      </w:r>
    </w:p>
    <w:p>
      <w:pPr>
        <w:pStyle w:val="2"/>
        <w:snapToGrid w:val="0"/>
        <w:spacing w:after="0"/>
        <w:ind w:left="0" w:leftChars="0"/>
        <w:rPr>
          <w:rFonts w:eastAsia="黑体"/>
          <w:bCs/>
          <w:kern w:val="0"/>
          <w:szCs w:val="21"/>
        </w:rPr>
      </w:pPr>
    </w:p>
    <w:p>
      <w:pPr>
        <w:pStyle w:val="2"/>
        <w:snapToGrid w:val="0"/>
        <w:spacing w:after="0"/>
        <w:jc w:val="center"/>
        <w:rPr>
          <w:rFonts w:eastAsia="方正小标宋简体"/>
          <w:sz w:val="44"/>
          <w:szCs w:val="44"/>
        </w:rPr>
      </w:pPr>
      <w:r>
        <w:rPr>
          <w:rFonts w:eastAsia="方正小标宋简体"/>
          <w:sz w:val="44"/>
          <w:szCs w:val="44"/>
        </w:rPr>
        <w:t>动物疫情监测与防治项目效能评价表</w:t>
      </w:r>
    </w:p>
    <w:tbl>
      <w:tblPr>
        <w:tblStyle w:val="7"/>
        <w:tblpPr w:leftFromText="180" w:rightFromText="180" w:vertAnchor="text" w:horzAnchor="margin" w:tblpXSpec="center" w:tblpY="28"/>
        <w:tblW w:w="96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
        <w:gridCol w:w="1373"/>
        <w:gridCol w:w="2693"/>
        <w:gridCol w:w="3619"/>
        <w:gridCol w:w="612"/>
        <w:gridCol w:w="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093" w:type="dxa"/>
            <w:gridSpan w:val="3"/>
            <w:vMerge w:val="restart"/>
            <w:vAlign w:val="center"/>
          </w:tcPr>
          <w:p>
            <w:pPr>
              <w:spacing w:line="300" w:lineRule="exact"/>
              <w:jc w:val="center"/>
              <w:rPr>
                <w:rFonts w:eastAsia="黑体"/>
                <w:bCs/>
                <w:sz w:val="24"/>
              </w:rPr>
            </w:pPr>
            <w:r>
              <w:rPr>
                <w:rFonts w:eastAsia="黑体"/>
                <w:bCs/>
                <w:sz w:val="24"/>
              </w:rPr>
              <w:t>单位名称</w:t>
            </w:r>
          </w:p>
          <w:p>
            <w:pPr>
              <w:spacing w:line="300" w:lineRule="exact"/>
              <w:jc w:val="center"/>
              <w:rPr>
                <w:bCs/>
                <w:sz w:val="24"/>
              </w:rPr>
            </w:pPr>
            <w:r>
              <w:rPr>
                <w:bCs/>
                <w:sz w:val="24"/>
              </w:rPr>
              <w:t>（填写公章名称）</w:t>
            </w:r>
          </w:p>
        </w:tc>
        <w:tc>
          <w:tcPr>
            <w:tcW w:w="2693" w:type="dxa"/>
            <w:vAlign w:val="center"/>
          </w:tcPr>
          <w:p>
            <w:pPr>
              <w:spacing w:line="300" w:lineRule="exact"/>
              <w:jc w:val="center"/>
              <w:rPr>
                <w:rFonts w:ascii="黑体" w:hAnsi="黑体" w:eastAsia="黑体"/>
                <w:bCs/>
                <w:sz w:val="24"/>
                <w:szCs w:val="24"/>
              </w:rPr>
            </w:pPr>
            <w:r>
              <w:rPr>
                <w:rFonts w:ascii="黑体" w:hAnsi="黑体" w:eastAsia="黑体"/>
                <w:bCs/>
                <w:sz w:val="24"/>
                <w:szCs w:val="24"/>
              </w:rPr>
              <w:t>省级水生动物疫控机构</w:t>
            </w:r>
          </w:p>
        </w:tc>
        <w:tc>
          <w:tcPr>
            <w:tcW w:w="4843" w:type="dxa"/>
            <w:gridSpan w:val="3"/>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093" w:type="dxa"/>
            <w:gridSpan w:val="3"/>
            <w:vMerge w:val="continue"/>
            <w:vAlign w:val="center"/>
          </w:tcPr>
          <w:p>
            <w:pPr>
              <w:spacing w:line="300" w:lineRule="exact"/>
              <w:ind w:firstLine="98" w:firstLineChars="41"/>
              <w:jc w:val="center"/>
              <w:rPr>
                <w:rFonts w:eastAsia="黑体"/>
                <w:bCs/>
                <w:sz w:val="24"/>
              </w:rPr>
            </w:pPr>
          </w:p>
        </w:tc>
        <w:tc>
          <w:tcPr>
            <w:tcW w:w="2693" w:type="dxa"/>
            <w:vAlign w:val="center"/>
          </w:tcPr>
          <w:p>
            <w:pPr>
              <w:spacing w:line="300" w:lineRule="exact"/>
              <w:jc w:val="center"/>
              <w:rPr>
                <w:rFonts w:ascii="黑体" w:hAnsi="黑体" w:eastAsia="黑体"/>
                <w:bCs/>
                <w:sz w:val="24"/>
                <w:szCs w:val="24"/>
              </w:rPr>
            </w:pPr>
            <w:r>
              <w:rPr>
                <w:rFonts w:ascii="黑体" w:hAnsi="黑体" w:eastAsia="黑体"/>
                <w:bCs/>
                <w:sz w:val="24"/>
                <w:szCs w:val="24"/>
              </w:rPr>
              <w:t>检测机构</w:t>
            </w:r>
          </w:p>
        </w:tc>
        <w:tc>
          <w:tcPr>
            <w:tcW w:w="4843" w:type="dxa"/>
            <w:gridSpan w:val="3"/>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20" w:type="dxa"/>
            <w:gridSpan w:val="2"/>
            <w:vAlign w:val="center"/>
          </w:tcPr>
          <w:p>
            <w:pPr>
              <w:spacing w:line="300" w:lineRule="exact"/>
              <w:jc w:val="center"/>
              <w:rPr>
                <w:rFonts w:eastAsia="黑体"/>
                <w:bCs/>
                <w:sz w:val="24"/>
                <w:szCs w:val="24"/>
              </w:rPr>
            </w:pPr>
            <w:r>
              <w:rPr>
                <w:rFonts w:eastAsia="黑体"/>
                <w:bCs/>
                <w:sz w:val="24"/>
                <w:szCs w:val="24"/>
              </w:rPr>
              <w:t>评估项目</w:t>
            </w:r>
          </w:p>
        </w:tc>
        <w:tc>
          <w:tcPr>
            <w:tcW w:w="4066" w:type="dxa"/>
            <w:gridSpan w:val="2"/>
            <w:vAlign w:val="center"/>
          </w:tcPr>
          <w:p>
            <w:pPr>
              <w:spacing w:line="300" w:lineRule="exact"/>
              <w:jc w:val="center"/>
              <w:rPr>
                <w:rFonts w:eastAsia="黑体"/>
                <w:bCs/>
                <w:sz w:val="24"/>
                <w:szCs w:val="24"/>
              </w:rPr>
            </w:pPr>
            <w:r>
              <w:rPr>
                <w:rFonts w:eastAsia="黑体"/>
                <w:bCs/>
                <w:sz w:val="24"/>
                <w:szCs w:val="24"/>
              </w:rPr>
              <w:t>具体项目</w:t>
            </w:r>
          </w:p>
        </w:tc>
        <w:tc>
          <w:tcPr>
            <w:tcW w:w="3619" w:type="dxa"/>
            <w:vAlign w:val="center"/>
          </w:tcPr>
          <w:p>
            <w:pPr>
              <w:spacing w:line="300" w:lineRule="exact"/>
              <w:jc w:val="center"/>
              <w:rPr>
                <w:rFonts w:eastAsia="黑体"/>
                <w:bCs/>
                <w:sz w:val="24"/>
                <w:szCs w:val="24"/>
              </w:rPr>
            </w:pPr>
            <w:r>
              <w:rPr>
                <w:rFonts w:hint="eastAsia" w:eastAsia="黑体"/>
                <w:bCs/>
                <w:sz w:val="24"/>
                <w:szCs w:val="24"/>
              </w:rPr>
              <w:t>评分标准</w:t>
            </w:r>
          </w:p>
        </w:tc>
        <w:tc>
          <w:tcPr>
            <w:tcW w:w="612" w:type="dxa"/>
            <w:vAlign w:val="center"/>
          </w:tcPr>
          <w:p>
            <w:pPr>
              <w:spacing w:line="300" w:lineRule="exact"/>
              <w:jc w:val="center"/>
              <w:rPr>
                <w:rFonts w:eastAsia="黑体"/>
                <w:bCs/>
                <w:sz w:val="24"/>
                <w:szCs w:val="24"/>
              </w:rPr>
            </w:pPr>
            <w:r>
              <w:rPr>
                <w:rFonts w:eastAsia="黑体"/>
                <w:bCs/>
                <w:sz w:val="24"/>
                <w:szCs w:val="24"/>
              </w:rPr>
              <w:t>分值</w:t>
            </w:r>
          </w:p>
        </w:tc>
        <w:tc>
          <w:tcPr>
            <w:tcW w:w="612" w:type="dxa"/>
            <w:vAlign w:val="center"/>
          </w:tcPr>
          <w:p>
            <w:pPr>
              <w:spacing w:line="300" w:lineRule="exact"/>
              <w:jc w:val="center"/>
              <w:rPr>
                <w:rFonts w:eastAsia="黑体"/>
                <w:bCs/>
                <w:sz w:val="24"/>
                <w:szCs w:val="24"/>
              </w:rPr>
            </w:pPr>
            <w:r>
              <w:rPr>
                <w:rFonts w:eastAsia="黑体"/>
                <w:bCs/>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gridSpan w:val="2"/>
            <w:vMerge w:val="restart"/>
            <w:textDirection w:val="tbRlV"/>
            <w:vAlign w:val="center"/>
          </w:tcPr>
          <w:p>
            <w:pPr>
              <w:spacing w:line="300" w:lineRule="exact"/>
              <w:jc w:val="center"/>
              <w:rPr>
                <w:sz w:val="24"/>
                <w:szCs w:val="24"/>
              </w:rPr>
            </w:pPr>
            <w:r>
              <w:rPr>
                <w:rFonts w:eastAsia="黑体"/>
                <w:sz w:val="24"/>
                <w:szCs w:val="24"/>
              </w:rPr>
              <w:t>一、样品采集</w:t>
            </w:r>
          </w:p>
        </w:tc>
        <w:tc>
          <w:tcPr>
            <w:tcW w:w="4066" w:type="dxa"/>
            <w:gridSpan w:val="2"/>
            <w:vAlign w:val="center"/>
          </w:tcPr>
          <w:p>
            <w:pPr>
              <w:spacing w:line="300" w:lineRule="exac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采样种类</w:t>
            </w:r>
            <w:r>
              <w:rPr>
                <w:rFonts w:asciiTheme="minorEastAsia" w:hAnsiTheme="minorEastAsia"/>
                <w:sz w:val="24"/>
                <w:szCs w:val="24"/>
              </w:rPr>
              <w:t>是否符合要求。</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全部符合5分，每有1份样品不符合扣1分。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采样</w:t>
            </w:r>
            <w:r>
              <w:rPr>
                <w:rFonts w:asciiTheme="minorEastAsia" w:hAnsiTheme="minorEastAsia"/>
                <w:sz w:val="24"/>
                <w:szCs w:val="24"/>
              </w:rPr>
              <w:t>水温是否符合要求</w:t>
            </w:r>
            <w:r>
              <w:rPr>
                <w:rFonts w:hint="eastAsia" w:asciiTheme="minorEastAsia" w:hAnsiTheme="minorEastAsia"/>
                <w:sz w:val="24"/>
                <w:szCs w:val="24"/>
              </w:rPr>
              <w:t>。</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全部符合5分，每有1份样品不符合扣1分。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采样</w:t>
            </w:r>
            <w:r>
              <w:rPr>
                <w:rFonts w:asciiTheme="minorEastAsia" w:hAnsiTheme="minorEastAsia"/>
                <w:sz w:val="24"/>
                <w:szCs w:val="24"/>
              </w:rPr>
              <w:t>规格是否符合要求。</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全部符合5分，每有1份样品不符合扣1分。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720" w:type="dxa"/>
            <w:gridSpan w:val="2"/>
            <w:vMerge w:val="continue"/>
            <w:textDirection w:val="tbRlV"/>
            <w:vAlign w:val="center"/>
          </w:tcPr>
          <w:p>
            <w:pPr>
              <w:spacing w:line="300" w:lineRule="exact"/>
              <w:rPr>
                <w:rFonts w:eastAsia="仿宋_GB2312"/>
                <w:sz w:val="24"/>
                <w:szCs w:val="24"/>
              </w:rPr>
            </w:pPr>
          </w:p>
        </w:tc>
        <w:tc>
          <w:tcPr>
            <w:tcW w:w="4066" w:type="dxa"/>
            <w:gridSpan w:val="2"/>
            <w:vAlign w:val="center"/>
          </w:tcPr>
          <w:p>
            <w:pPr>
              <w:spacing w:line="300" w:lineRule="exact"/>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每份样品</w:t>
            </w:r>
            <w:r>
              <w:rPr>
                <w:rFonts w:asciiTheme="minorEastAsia" w:hAnsiTheme="minorEastAsia"/>
                <w:sz w:val="24"/>
                <w:szCs w:val="24"/>
              </w:rPr>
              <w:t>采样</w:t>
            </w:r>
            <w:r>
              <w:rPr>
                <w:rFonts w:hint="eastAsia" w:asciiTheme="minorEastAsia" w:hAnsiTheme="minorEastAsia"/>
                <w:sz w:val="24"/>
                <w:szCs w:val="24"/>
              </w:rPr>
              <w:t>尾数</w:t>
            </w:r>
            <w:r>
              <w:rPr>
                <w:rFonts w:asciiTheme="minorEastAsia" w:hAnsiTheme="minorEastAsia"/>
                <w:sz w:val="24"/>
                <w:szCs w:val="24"/>
              </w:rPr>
              <w:t>是否符合要求</w:t>
            </w:r>
            <w:r>
              <w:rPr>
                <w:rFonts w:hint="eastAsia" w:asciiTheme="minorEastAsia" w:hAnsiTheme="minorEastAsia"/>
                <w:sz w:val="24"/>
                <w:szCs w:val="24"/>
              </w:rPr>
              <w:t>。</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全部符合5分，每有1份样品不符合扣1分。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.监测点是否全面覆盖相应养殖品种的省级以上原良种场、重点苗种场、遗传育种中心、引育种中心以及往年阳性场所在场址。</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全部符合5分，每有1个监测点未覆盖扣1分。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6.是否按监测规范要求，多池随机采样。</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全部符合5分，每有1份样品不符合扣1分。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w:t>
            </w:r>
            <w:r>
              <w:rPr>
                <w:rFonts w:hint="eastAsia" w:asciiTheme="minorEastAsia" w:hAnsiTheme="minorEastAsia"/>
                <w:sz w:val="24"/>
                <w:szCs w:val="24"/>
              </w:rPr>
              <w:t>采样频次是否符合要求。（例如：应避免在同一养殖场采集多份样品，造成浪费）</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全部符合5分，每有1个监测点采集2份以上样品扣1分。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w:t>
            </w:r>
            <w:r>
              <w:rPr>
                <w:rFonts w:hint="eastAsia" w:asciiTheme="minorEastAsia" w:hAnsiTheme="minorEastAsia"/>
                <w:sz w:val="24"/>
                <w:szCs w:val="24"/>
              </w:rPr>
              <w:t>是否按时完成国家规定的采样任务数。</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全部完成5分，少完成1份扣1分。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rPr>
              <w:t>有典型症状的样品应优先采集。</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w:t>
            </w:r>
            <w:r>
              <w:rPr>
                <w:rFonts w:asciiTheme="minorEastAsia" w:hAnsiTheme="minorEastAsia"/>
                <w:sz w:val="24"/>
                <w:szCs w:val="24"/>
              </w:rPr>
              <w:t>5</w:t>
            </w:r>
            <w:r>
              <w:rPr>
                <w:rFonts w:hint="eastAsia" w:asciiTheme="minorEastAsia" w:hAnsiTheme="minorEastAsia"/>
                <w:sz w:val="24"/>
                <w:szCs w:val="24"/>
              </w:rPr>
              <w:t>分，每有1份样品不符合扣1分。</w:t>
            </w:r>
          </w:p>
        </w:tc>
        <w:tc>
          <w:tcPr>
            <w:tcW w:w="612" w:type="dxa"/>
            <w:vAlign w:val="center"/>
          </w:tcPr>
          <w:p>
            <w:pPr>
              <w:spacing w:line="300" w:lineRule="exact"/>
              <w:jc w:val="center"/>
              <w:rPr>
                <w:b/>
                <w:sz w:val="24"/>
                <w:szCs w:val="24"/>
              </w:rPr>
            </w:pPr>
            <w:r>
              <w:rPr>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w:t>
            </w:r>
            <w:r>
              <w:rPr>
                <w:rFonts w:hint="eastAsia" w:asciiTheme="minorEastAsia" w:hAnsiTheme="minorEastAsia"/>
                <w:sz w:val="24"/>
                <w:szCs w:val="24"/>
              </w:rPr>
              <w:t>采样人员是否经过省级以上机构采样培训。</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经过培训2分，否则0分。</w:t>
            </w:r>
          </w:p>
        </w:tc>
        <w:tc>
          <w:tcPr>
            <w:tcW w:w="612" w:type="dxa"/>
            <w:vAlign w:val="center"/>
          </w:tcPr>
          <w:p>
            <w:pPr>
              <w:spacing w:line="300" w:lineRule="exact"/>
              <w:jc w:val="center"/>
              <w:rPr>
                <w:b/>
                <w:sz w:val="24"/>
                <w:szCs w:val="24"/>
              </w:rPr>
            </w:pPr>
            <w:r>
              <w:rPr>
                <w:rFonts w:hint="eastAsia"/>
                <w:b/>
                <w:sz w:val="24"/>
                <w:szCs w:val="24"/>
              </w:rPr>
              <w:t>2</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20" w:type="dxa"/>
            <w:gridSpan w:val="2"/>
            <w:vMerge w:val="continue"/>
            <w:textDirection w:val="tbRlV"/>
            <w:vAlign w:val="center"/>
          </w:tcPr>
          <w:p>
            <w:pPr>
              <w:spacing w:line="300" w:lineRule="exact"/>
              <w:rPr>
                <w:sz w:val="24"/>
                <w:szCs w:val="24"/>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样品信息记录是否完整。</w:t>
            </w:r>
          </w:p>
        </w:tc>
        <w:tc>
          <w:tcPr>
            <w:tcW w:w="3619" w:type="dxa"/>
            <w:vAlign w:val="center"/>
          </w:tcPr>
          <w:p>
            <w:pPr>
              <w:spacing w:line="300" w:lineRule="exact"/>
              <w:rPr>
                <w:rFonts w:asciiTheme="minorEastAsia" w:hAnsiTheme="minorEastAsia"/>
                <w:sz w:val="24"/>
                <w:szCs w:val="24"/>
              </w:rPr>
            </w:pPr>
            <w:r>
              <w:rPr>
                <w:rFonts w:asciiTheme="minorEastAsia" w:hAnsiTheme="minorEastAsia"/>
                <w:sz w:val="24"/>
                <w:szCs w:val="24"/>
              </w:rPr>
              <w:t>全部信息记录完整3</w:t>
            </w:r>
            <w:r>
              <w:rPr>
                <w:rFonts w:hint="eastAsia" w:asciiTheme="minorEastAsia" w:hAnsiTheme="minorEastAsia"/>
                <w:sz w:val="24"/>
                <w:szCs w:val="24"/>
              </w:rPr>
              <w:t>分，每有1份样品不完整扣1分。</w:t>
            </w:r>
          </w:p>
        </w:tc>
        <w:tc>
          <w:tcPr>
            <w:tcW w:w="612" w:type="dxa"/>
            <w:vAlign w:val="center"/>
          </w:tcPr>
          <w:p>
            <w:pPr>
              <w:spacing w:line="300" w:lineRule="exact"/>
              <w:jc w:val="center"/>
              <w:rPr>
                <w:b/>
                <w:sz w:val="24"/>
                <w:szCs w:val="24"/>
              </w:rPr>
            </w:pPr>
            <w:r>
              <w:rPr>
                <w:b/>
                <w:sz w:val="24"/>
                <w:szCs w:val="24"/>
              </w:rPr>
              <w:t>3</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720" w:type="dxa"/>
            <w:gridSpan w:val="2"/>
            <w:textDirection w:val="tbRlV"/>
            <w:vAlign w:val="center"/>
          </w:tcPr>
          <w:p>
            <w:pPr>
              <w:spacing w:line="300" w:lineRule="exact"/>
              <w:rPr>
                <w:sz w:val="24"/>
                <w:szCs w:val="24"/>
              </w:rPr>
            </w:pPr>
          </w:p>
        </w:tc>
        <w:tc>
          <w:tcPr>
            <w:tcW w:w="4066" w:type="dxa"/>
            <w:gridSpan w:val="2"/>
            <w:vAlign w:val="center"/>
          </w:tcPr>
          <w:p>
            <w:pPr>
              <w:spacing w:line="300" w:lineRule="exact"/>
              <w:jc w:val="center"/>
              <w:rPr>
                <w:sz w:val="24"/>
                <w:szCs w:val="24"/>
              </w:rPr>
            </w:pPr>
            <w:r>
              <w:rPr>
                <w:rFonts w:hint="eastAsia"/>
                <w:sz w:val="24"/>
                <w:szCs w:val="24"/>
              </w:rPr>
              <w:t>合计</w:t>
            </w:r>
          </w:p>
        </w:tc>
        <w:tc>
          <w:tcPr>
            <w:tcW w:w="3619" w:type="dxa"/>
            <w:vAlign w:val="center"/>
          </w:tcPr>
          <w:p>
            <w:pPr>
              <w:spacing w:line="300" w:lineRule="exact"/>
              <w:rPr>
                <w:sz w:val="24"/>
                <w:szCs w:val="24"/>
              </w:rPr>
            </w:pPr>
          </w:p>
        </w:tc>
        <w:tc>
          <w:tcPr>
            <w:tcW w:w="612" w:type="dxa"/>
            <w:vAlign w:val="center"/>
          </w:tcPr>
          <w:p>
            <w:pPr>
              <w:spacing w:line="300" w:lineRule="exact"/>
              <w:jc w:val="center"/>
              <w:rPr>
                <w:b/>
                <w:sz w:val="24"/>
                <w:szCs w:val="24"/>
              </w:rPr>
            </w:pPr>
            <w:r>
              <w:rPr>
                <w:rFonts w:hint="eastAsia"/>
                <w:b/>
                <w:sz w:val="24"/>
                <w:szCs w:val="24"/>
              </w:rPr>
              <w:t>50</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20" w:type="dxa"/>
            <w:gridSpan w:val="2"/>
            <w:vMerge w:val="restart"/>
            <w:textDirection w:val="tbRlV"/>
            <w:vAlign w:val="center"/>
          </w:tcPr>
          <w:p>
            <w:pPr>
              <w:spacing w:line="300" w:lineRule="exact"/>
              <w:jc w:val="center"/>
              <w:rPr>
                <w:sz w:val="24"/>
                <w:szCs w:val="24"/>
              </w:rPr>
            </w:pPr>
            <w:r>
              <w:rPr>
                <w:rFonts w:eastAsia="黑体"/>
                <w:sz w:val="24"/>
                <w:szCs w:val="24"/>
              </w:rPr>
              <w:t>二、样品运输</w:t>
            </w: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w:t>
            </w:r>
            <w:r>
              <w:rPr>
                <w:rFonts w:hint="eastAsia" w:asciiTheme="minorEastAsia" w:hAnsiTheme="minorEastAsia"/>
                <w:sz w:val="24"/>
                <w:szCs w:val="24"/>
              </w:rPr>
              <w:t>运输样品状态是否符合要求。（例如：要求运输活鱼，不得采集鱼组织运输）</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全部符合10分，每有1份样品不符合扣1分。</w:t>
            </w:r>
          </w:p>
        </w:tc>
        <w:tc>
          <w:tcPr>
            <w:tcW w:w="612" w:type="dxa"/>
            <w:vAlign w:val="center"/>
          </w:tcPr>
          <w:p>
            <w:pPr>
              <w:spacing w:line="300" w:lineRule="exact"/>
              <w:jc w:val="center"/>
              <w:rPr>
                <w:b/>
                <w:sz w:val="24"/>
                <w:szCs w:val="24"/>
              </w:rPr>
            </w:pPr>
            <w:r>
              <w:rPr>
                <w:rFonts w:hint="eastAsia"/>
                <w:b/>
                <w:sz w:val="24"/>
                <w:szCs w:val="24"/>
              </w:rPr>
              <w:t>10</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720" w:type="dxa"/>
            <w:gridSpan w:val="2"/>
            <w:vMerge w:val="continue"/>
            <w:textDirection w:val="tbRlV"/>
            <w:vAlign w:val="center"/>
          </w:tcPr>
          <w:p>
            <w:pPr>
              <w:spacing w:line="300" w:lineRule="exact"/>
              <w:jc w:val="center"/>
              <w:rPr>
                <w:rFonts w:eastAsia="黑体"/>
                <w:szCs w:val="21"/>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w:t>
            </w:r>
            <w:r>
              <w:rPr>
                <w:rFonts w:hint="eastAsia" w:asciiTheme="minorEastAsia" w:hAnsiTheme="minorEastAsia"/>
                <w:sz w:val="24"/>
                <w:szCs w:val="24"/>
              </w:rPr>
              <w:t>.样品包装是否符合要求。</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w:t>
            </w:r>
            <w:r>
              <w:rPr>
                <w:rFonts w:asciiTheme="minorEastAsia" w:hAnsiTheme="minorEastAsia"/>
                <w:sz w:val="24"/>
                <w:szCs w:val="24"/>
              </w:rPr>
              <w:t>2</w:t>
            </w:r>
            <w:r>
              <w:rPr>
                <w:rFonts w:hint="eastAsia" w:asciiTheme="minorEastAsia" w:hAnsiTheme="minorEastAsia"/>
                <w:sz w:val="24"/>
                <w:szCs w:val="24"/>
              </w:rPr>
              <w:t>分，每有1份样品不符合扣1分。</w:t>
            </w:r>
          </w:p>
        </w:tc>
        <w:tc>
          <w:tcPr>
            <w:tcW w:w="612" w:type="dxa"/>
            <w:vAlign w:val="center"/>
          </w:tcPr>
          <w:p>
            <w:pPr>
              <w:spacing w:line="300" w:lineRule="exact"/>
              <w:jc w:val="center"/>
              <w:rPr>
                <w:b/>
                <w:sz w:val="24"/>
                <w:szCs w:val="24"/>
              </w:rPr>
            </w:pPr>
            <w:r>
              <w:rPr>
                <w:b/>
                <w:sz w:val="24"/>
                <w:szCs w:val="24"/>
              </w:rPr>
              <w:t>2</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720" w:type="dxa"/>
            <w:gridSpan w:val="2"/>
            <w:vMerge w:val="continue"/>
            <w:textDirection w:val="tbRlV"/>
            <w:vAlign w:val="center"/>
          </w:tcPr>
          <w:p>
            <w:pPr>
              <w:spacing w:line="300" w:lineRule="exact"/>
              <w:jc w:val="center"/>
              <w:rPr>
                <w:szCs w:val="21"/>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4.是否在规定时间内运至指定检测实验室</w:t>
            </w:r>
            <w:r>
              <w:rPr>
                <w:rFonts w:hint="eastAsia" w:asciiTheme="minorEastAsia" w:hAnsiTheme="minorEastAsia"/>
                <w:sz w:val="24"/>
                <w:szCs w:val="24"/>
              </w:rPr>
              <w:t>。</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w:t>
            </w:r>
            <w:r>
              <w:rPr>
                <w:rFonts w:asciiTheme="minorEastAsia" w:hAnsiTheme="minorEastAsia"/>
                <w:sz w:val="24"/>
                <w:szCs w:val="24"/>
              </w:rPr>
              <w:t>3</w:t>
            </w:r>
            <w:r>
              <w:rPr>
                <w:rFonts w:hint="eastAsia" w:asciiTheme="minorEastAsia" w:hAnsiTheme="minorEastAsia"/>
                <w:sz w:val="24"/>
                <w:szCs w:val="24"/>
              </w:rPr>
              <w:t>分，每有1份样品不符合扣1分。</w:t>
            </w:r>
          </w:p>
        </w:tc>
        <w:tc>
          <w:tcPr>
            <w:tcW w:w="612" w:type="dxa"/>
            <w:vAlign w:val="center"/>
          </w:tcPr>
          <w:p>
            <w:pPr>
              <w:spacing w:line="300" w:lineRule="exact"/>
              <w:jc w:val="center"/>
              <w:rPr>
                <w:b/>
                <w:sz w:val="24"/>
                <w:szCs w:val="24"/>
              </w:rPr>
            </w:pPr>
            <w:r>
              <w:rPr>
                <w:b/>
                <w:sz w:val="24"/>
                <w:szCs w:val="24"/>
              </w:rPr>
              <w:t>3</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720" w:type="dxa"/>
            <w:gridSpan w:val="2"/>
            <w:textDirection w:val="tbRlV"/>
            <w:vAlign w:val="center"/>
          </w:tcPr>
          <w:p>
            <w:pPr>
              <w:spacing w:line="300" w:lineRule="exact"/>
              <w:jc w:val="center"/>
              <w:rPr>
                <w:szCs w:val="21"/>
              </w:rPr>
            </w:pPr>
          </w:p>
        </w:tc>
        <w:tc>
          <w:tcPr>
            <w:tcW w:w="4066" w:type="dxa"/>
            <w:gridSpan w:val="2"/>
            <w:vAlign w:val="center"/>
          </w:tcPr>
          <w:p>
            <w:pPr>
              <w:spacing w:line="300" w:lineRule="exact"/>
              <w:jc w:val="center"/>
              <w:rPr>
                <w:sz w:val="24"/>
                <w:szCs w:val="24"/>
              </w:rPr>
            </w:pPr>
            <w:r>
              <w:rPr>
                <w:rFonts w:hint="eastAsia"/>
                <w:sz w:val="24"/>
                <w:szCs w:val="24"/>
              </w:rPr>
              <w:t>合计</w:t>
            </w:r>
          </w:p>
        </w:tc>
        <w:tc>
          <w:tcPr>
            <w:tcW w:w="3619" w:type="dxa"/>
            <w:vAlign w:val="center"/>
          </w:tcPr>
          <w:p>
            <w:pPr>
              <w:spacing w:line="300" w:lineRule="exact"/>
              <w:rPr>
                <w:sz w:val="24"/>
                <w:szCs w:val="24"/>
              </w:rPr>
            </w:pPr>
          </w:p>
        </w:tc>
        <w:tc>
          <w:tcPr>
            <w:tcW w:w="612" w:type="dxa"/>
            <w:vAlign w:val="center"/>
          </w:tcPr>
          <w:p>
            <w:pPr>
              <w:spacing w:line="300" w:lineRule="exact"/>
              <w:jc w:val="center"/>
              <w:rPr>
                <w:b/>
                <w:sz w:val="24"/>
                <w:szCs w:val="24"/>
              </w:rPr>
            </w:pPr>
            <w:r>
              <w:rPr>
                <w:rFonts w:hint="eastAsia"/>
                <w:b/>
                <w:sz w:val="24"/>
                <w:szCs w:val="24"/>
              </w:rPr>
              <w:t>15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720" w:type="dxa"/>
            <w:gridSpan w:val="2"/>
            <w:vMerge w:val="restart"/>
            <w:textDirection w:val="tbRlV"/>
            <w:vAlign w:val="center"/>
          </w:tcPr>
          <w:p>
            <w:pPr>
              <w:spacing w:line="300" w:lineRule="exact"/>
              <w:jc w:val="center"/>
              <w:rPr>
                <w:rFonts w:ascii="黑体" w:hAnsi="黑体" w:eastAsia="黑体"/>
                <w:sz w:val="24"/>
                <w:szCs w:val="24"/>
              </w:rPr>
            </w:pPr>
            <w:r>
              <w:rPr>
                <w:rFonts w:ascii="黑体" w:hAnsi="黑体" w:eastAsia="黑体"/>
                <w:sz w:val="24"/>
                <w:szCs w:val="24"/>
              </w:rPr>
              <w:t>三</w:t>
            </w:r>
            <w:r>
              <w:rPr>
                <w:rFonts w:hint="eastAsia" w:ascii="黑体" w:hAnsi="黑体" w:eastAsia="黑体"/>
                <w:sz w:val="24"/>
                <w:szCs w:val="24"/>
              </w:rPr>
              <w:t>、</w:t>
            </w:r>
            <w:r>
              <w:rPr>
                <w:rFonts w:ascii="黑体" w:hAnsi="黑体" w:eastAsia="黑体"/>
                <w:sz w:val="24"/>
                <w:szCs w:val="24"/>
              </w:rPr>
              <w:t>样品检测</w:t>
            </w: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5.</w:t>
            </w:r>
            <w:r>
              <w:rPr>
                <w:rFonts w:hint="eastAsia" w:asciiTheme="minorEastAsia" w:hAnsiTheme="minorEastAsia"/>
                <w:sz w:val="24"/>
                <w:szCs w:val="24"/>
              </w:rPr>
              <w:t>样品处理是否符合要求。是否将每份样品按要求分成小样，采集规定组织，并对每份小样均进行检测。</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全部符合10分，每有1份样品不符合扣</w:t>
            </w:r>
            <w:r>
              <w:rPr>
                <w:rFonts w:asciiTheme="minorEastAsia" w:hAnsiTheme="minorEastAsia"/>
                <w:sz w:val="24"/>
                <w:szCs w:val="24"/>
              </w:rPr>
              <w:t>1</w:t>
            </w:r>
            <w:r>
              <w:rPr>
                <w:rFonts w:hint="eastAsia" w:asciiTheme="minorEastAsia" w:hAnsiTheme="minorEastAsia"/>
                <w:sz w:val="24"/>
                <w:szCs w:val="24"/>
              </w:rPr>
              <w:t>分。</w:t>
            </w:r>
          </w:p>
        </w:tc>
        <w:tc>
          <w:tcPr>
            <w:tcW w:w="612" w:type="dxa"/>
            <w:vAlign w:val="center"/>
          </w:tcPr>
          <w:p>
            <w:pPr>
              <w:spacing w:line="300" w:lineRule="exact"/>
              <w:jc w:val="center"/>
              <w:rPr>
                <w:b/>
                <w:sz w:val="24"/>
                <w:szCs w:val="24"/>
              </w:rPr>
            </w:pPr>
            <w:r>
              <w:rPr>
                <w:rFonts w:hint="eastAsia"/>
                <w:b/>
                <w:sz w:val="24"/>
                <w:szCs w:val="24"/>
              </w:rPr>
              <w:t>10</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720" w:type="dxa"/>
            <w:gridSpan w:val="2"/>
            <w:vMerge w:val="continue"/>
            <w:textDirection w:val="tbRlV"/>
            <w:vAlign w:val="center"/>
          </w:tcPr>
          <w:p>
            <w:pPr>
              <w:spacing w:line="300" w:lineRule="exact"/>
              <w:jc w:val="center"/>
              <w:rPr>
                <w:szCs w:val="21"/>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6.检测</w:t>
            </w:r>
            <w:r>
              <w:rPr>
                <w:rFonts w:hint="eastAsia" w:asciiTheme="minorEastAsia" w:hAnsiTheme="minorEastAsia"/>
                <w:sz w:val="24"/>
                <w:szCs w:val="24"/>
              </w:rPr>
              <w:t>采用的</w:t>
            </w:r>
            <w:r>
              <w:rPr>
                <w:rFonts w:asciiTheme="minorEastAsia" w:hAnsiTheme="minorEastAsia"/>
                <w:sz w:val="24"/>
                <w:szCs w:val="24"/>
              </w:rPr>
              <w:t>方法是否符合要求</w:t>
            </w:r>
            <w:r>
              <w:rPr>
                <w:rFonts w:hint="eastAsia" w:asciiTheme="minorEastAsia" w:hAnsiTheme="minorEastAsia"/>
                <w:sz w:val="24"/>
                <w:szCs w:val="24"/>
              </w:rPr>
              <w:t>。</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全部符合</w:t>
            </w:r>
            <w:r>
              <w:rPr>
                <w:rFonts w:asciiTheme="minorEastAsia" w:hAnsiTheme="minorEastAsia"/>
                <w:sz w:val="24"/>
                <w:szCs w:val="24"/>
              </w:rPr>
              <w:t>5</w:t>
            </w:r>
            <w:r>
              <w:rPr>
                <w:rFonts w:hint="eastAsia" w:asciiTheme="minorEastAsia" w:hAnsiTheme="minorEastAsia"/>
                <w:sz w:val="24"/>
                <w:szCs w:val="24"/>
              </w:rPr>
              <w:t>分，每有1份样品不符合扣</w:t>
            </w:r>
            <w:r>
              <w:rPr>
                <w:rFonts w:asciiTheme="minorEastAsia" w:hAnsiTheme="minorEastAsia"/>
                <w:sz w:val="24"/>
                <w:szCs w:val="24"/>
              </w:rPr>
              <w:t>1</w:t>
            </w:r>
            <w:r>
              <w:rPr>
                <w:rFonts w:hint="eastAsia" w:asciiTheme="minorEastAsia" w:hAnsiTheme="minorEastAsia"/>
                <w:sz w:val="24"/>
                <w:szCs w:val="24"/>
              </w:rPr>
              <w:t>分。</w:t>
            </w:r>
          </w:p>
        </w:tc>
        <w:tc>
          <w:tcPr>
            <w:tcW w:w="612" w:type="dxa"/>
            <w:vAlign w:val="center"/>
          </w:tcPr>
          <w:p>
            <w:pPr>
              <w:spacing w:line="300" w:lineRule="exact"/>
              <w:jc w:val="center"/>
              <w:rPr>
                <w:b/>
                <w:sz w:val="24"/>
                <w:szCs w:val="24"/>
              </w:rPr>
            </w:pPr>
            <w:r>
              <w:rPr>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720" w:type="dxa"/>
            <w:gridSpan w:val="2"/>
            <w:vMerge w:val="continue"/>
            <w:textDirection w:val="tbRlV"/>
            <w:vAlign w:val="center"/>
          </w:tcPr>
          <w:p>
            <w:pPr>
              <w:spacing w:line="300" w:lineRule="exact"/>
              <w:jc w:val="center"/>
              <w:rPr>
                <w:szCs w:val="21"/>
              </w:rPr>
            </w:pPr>
          </w:p>
        </w:tc>
        <w:tc>
          <w:tcPr>
            <w:tcW w:w="4066" w:type="dxa"/>
            <w:gridSpan w:val="2"/>
            <w:vAlign w:val="center"/>
          </w:tcPr>
          <w:p>
            <w:pPr>
              <w:spacing w:line="300" w:lineRule="exact"/>
              <w:rPr>
                <w:rFonts w:asciiTheme="minorEastAsia" w:hAnsiTheme="minorEastAsia"/>
                <w:sz w:val="24"/>
                <w:szCs w:val="24"/>
              </w:rPr>
            </w:pPr>
            <w:r>
              <w:rPr>
                <w:rFonts w:asciiTheme="minorEastAsia" w:hAnsiTheme="minorEastAsia"/>
                <w:sz w:val="24"/>
                <w:szCs w:val="24"/>
              </w:rPr>
              <w:t>17.</w:t>
            </w:r>
            <w:r>
              <w:rPr>
                <w:rFonts w:hint="eastAsia" w:asciiTheme="minorEastAsia" w:hAnsiTheme="minorEastAsia"/>
                <w:sz w:val="24"/>
                <w:szCs w:val="24"/>
              </w:rPr>
              <w:t>是否按规定时间向委托检测单位提供检测报告，并将检测报告上报国家监测系统。</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全部提交5分，每有1份样品未提交扣1分。</w:t>
            </w:r>
          </w:p>
        </w:tc>
        <w:tc>
          <w:tcPr>
            <w:tcW w:w="612" w:type="dxa"/>
            <w:vAlign w:val="center"/>
          </w:tcPr>
          <w:p>
            <w:pPr>
              <w:spacing w:line="300" w:lineRule="exact"/>
              <w:jc w:val="center"/>
              <w:rPr>
                <w:b/>
                <w:sz w:val="24"/>
                <w:szCs w:val="24"/>
              </w:rPr>
            </w:pPr>
            <w:r>
              <w:rPr>
                <w:rFonts w:hint="eastAsia"/>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720" w:type="dxa"/>
            <w:gridSpan w:val="2"/>
            <w:vMerge w:val="continue"/>
            <w:textDirection w:val="tbRlV"/>
            <w:vAlign w:val="center"/>
          </w:tcPr>
          <w:p>
            <w:pPr>
              <w:spacing w:line="300" w:lineRule="exact"/>
              <w:jc w:val="center"/>
              <w:rPr>
                <w:szCs w:val="21"/>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8.检测机构是否取得疫病监测相关资质认定或通过前一年农业农村部开展的水生动物防疫系统实验室检测能力验证</w:t>
            </w:r>
            <w:r>
              <w:rPr>
                <w:rFonts w:hint="eastAsia" w:asciiTheme="minorEastAsia" w:hAnsiTheme="minorEastAsia"/>
                <w:sz w:val="24"/>
                <w:szCs w:val="24"/>
              </w:rPr>
              <w:t>。</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符合</w:t>
            </w:r>
            <w:r>
              <w:rPr>
                <w:rFonts w:asciiTheme="minorEastAsia" w:hAnsiTheme="minorEastAsia"/>
                <w:sz w:val="24"/>
                <w:szCs w:val="24"/>
              </w:rPr>
              <w:t>5</w:t>
            </w:r>
            <w:r>
              <w:rPr>
                <w:rFonts w:hint="eastAsia" w:asciiTheme="minorEastAsia" w:hAnsiTheme="minorEastAsia"/>
                <w:sz w:val="24"/>
                <w:szCs w:val="24"/>
              </w:rPr>
              <w:t>分，否则0分。</w:t>
            </w:r>
          </w:p>
        </w:tc>
        <w:tc>
          <w:tcPr>
            <w:tcW w:w="612" w:type="dxa"/>
            <w:vAlign w:val="center"/>
          </w:tcPr>
          <w:p>
            <w:pPr>
              <w:spacing w:line="300" w:lineRule="exact"/>
              <w:jc w:val="center"/>
              <w:rPr>
                <w:b/>
                <w:sz w:val="24"/>
                <w:szCs w:val="24"/>
              </w:rPr>
            </w:pPr>
            <w:r>
              <w:rPr>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720" w:type="dxa"/>
            <w:gridSpan w:val="2"/>
            <w:vMerge w:val="continue"/>
            <w:textDirection w:val="tbRlV"/>
            <w:vAlign w:val="center"/>
          </w:tcPr>
          <w:p>
            <w:pPr>
              <w:spacing w:line="300" w:lineRule="exact"/>
              <w:jc w:val="center"/>
              <w:rPr>
                <w:szCs w:val="21"/>
              </w:rPr>
            </w:pPr>
          </w:p>
        </w:tc>
        <w:tc>
          <w:tcPr>
            <w:tcW w:w="4066" w:type="dxa"/>
            <w:gridSpan w:val="2"/>
            <w:vAlign w:val="center"/>
          </w:tcPr>
          <w:p>
            <w:pPr>
              <w:spacing w:line="300" w:lineRule="exact"/>
              <w:rPr>
                <w:rFonts w:asciiTheme="minorEastAsia" w:hAnsiTheme="minorEastAsia"/>
                <w:sz w:val="24"/>
                <w:szCs w:val="24"/>
              </w:rPr>
            </w:pPr>
            <w:r>
              <w:rPr>
                <w:rFonts w:asciiTheme="minorEastAsia" w:hAnsiTheme="minorEastAsia"/>
                <w:sz w:val="24"/>
                <w:szCs w:val="24"/>
              </w:rPr>
              <w:t>19.是否</w:t>
            </w:r>
            <w:r>
              <w:rPr>
                <w:rFonts w:hint="eastAsia" w:asciiTheme="minorEastAsia" w:hAnsiTheme="minorEastAsia"/>
                <w:sz w:val="24"/>
                <w:szCs w:val="24"/>
              </w:rPr>
              <w:t>按要求</w:t>
            </w:r>
            <w:r>
              <w:rPr>
                <w:rFonts w:asciiTheme="minorEastAsia" w:hAnsiTheme="minorEastAsia"/>
                <w:sz w:val="24"/>
                <w:szCs w:val="24"/>
              </w:rPr>
              <w:t>对阳性样品进行核酸测序</w:t>
            </w:r>
            <w:r>
              <w:rPr>
                <w:rFonts w:hint="eastAsia" w:asciiTheme="minorEastAsia" w:hAnsiTheme="minorEastAsia"/>
                <w:sz w:val="24"/>
                <w:szCs w:val="24"/>
              </w:rPr>
              <w:t>，并将测序信息提交国家监测系统。</w:t>
            </w:r>
            <w:r>
              <w:rPr>
                <w:rFonts w:asciiTheme="minorEastAsia" w:hAnsiTheme="minorEastAsia"/>
                <w:sz w:val="24"/>
                <w:szCs w:val="24"/>
              </w:rPr>
              <w:t xml:space="preserve"> </w:t>
            </w:r>
          </w:p>
        </w:tc>
        <w:tc>
          <w:tcPr>
            <w:tcW w:w="3619" w:type="dxa"/>
            <w:vAlign w:val="center"/>
          </w:tcPr>
          <w:p>
            <w:pPr>
              <w:spacing w:line="300" w:lineRule="exact"/>
              <w:rPr>
                <w:rFonts w:asciiTheme="minorEastAsia" w:hAnsiTheme="minorEastAsia"/>
                <w:sz w:val="24"/>
                <w:szCs w:val="24"/>
              </w:rPr>
            </w:pPr>
            <w:r>
              <w:rPr>
                <w:rFonts w:hint="eastAsia" w:asciiTheme="minorEastAsia" w:hAnsiTheme="minorEastAsia"/>
                <w:sz w:val="24"/>
                <w:szCs w:val="24"/>
              </w:rPr>
              <w:t>符合</w:t>
            </w:r>
            <w:r>
              <w:rPr>
                <w:rFonts w:asciiTheme="minorEastAsia" w:hAnsiTheme="minorEastAsia"/>
                <w:sz w:val="24"/>
                <w:szCs w:val="24"/>
              </w:rPr>
              <w:t>5</w:t>
            </w:r>
            <w:r>
              <w:rPr>
                <w:rFonts w:hint="eastAsia" w:asciiTheme="minorEastAsia" w:hAnsiTheme="minorEastAsia"/>
                <w:sz w:val="24"/>
                <w:szCs w:val="24"/>
              </w:rPr>
              <w:t>分，每有1份样品不符合扣1分。</w:t>
            </w:r>
          </w:p>
        </w:tc>
        <w:tc>
          <w:tcPr>
            <w:tcW w:w="612" w:type="dxa"/>
            <w:vAlign w:val="center"/>
          </w:tcPr>
          <w:p>
            <w:pPr>
              <w:spacing w:line="300" w:lineRule="exact"/>
              <w:jc w:val="center"/>
              <w:rPr>
                <w:b/>
                <w:sz w:val="24"/>
                <w:szCs w:val="24"/>
              </w:rPr>
            </w:pPr>
            <w:r>
              <w:rPr>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720" w:type="dxa"/>
            <w:gridSpan w:val="2"/>
            <w:vMerge w:val="continue"/>
            <w:textDirection w:val="tbRlV"/>
            <w:vAlign w:val="center"/>
          </w:tcPr>
          <w:p>
            <w:pPr>
              <w:spacing w:line="300" w:lineRule="exact"/>
              <w:jc w:val="center"/>
              <w:rPr>
                <w:szCs w:val="21"/>
              </w:rPr>
            </w:pPr>
          </w:p>
        </w:tc>
        <w:tc>
          <w:tcPr>
            <w:tcW w:w="4066" w:type="dxa"/>
            <w:gridSpan w:val="2"/>
            <w:vAlign w:val="center"/>
          </w:tcPr>
          <w:p>
            <w:pPr>
              <w:spacing w:line="300" w:lineRule="exac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0.病原体保存和无害化处理等是否符合国家有关规定</w:t>
            </w:r>
            <w:r>
              <w:rPr>
                <w:rFonts w:hint="eastAsia" w:asciiTheme="minorEastAsia" w:hAnsiTheme="minorEastAsia"/>
                <w:sz w:val="24"/>
                <w:szCs w:val="24"/>
              </w:rPr>
              <w:t>。</w:t>
            </w:r>
          </w:p>
        </w:tc>
        <w:tc>
          <w:tcPr>
            <w:tcW w:w="3619" w:type="dxa"/>
            <w:vAlign w:val="center"/>
          </w:tcPr>
          <w:p>
            <w:pPr>
              <w:spacing w:line="300" w:lineRule="exact"/>
              <w:rPr>
                <w:sz w:val="24"/>
                <w:szCs w:val="24"/>
              </w:rPr>
            </w:pPr>
            <w:r>
              <w:rPr>
                <w:rFonts w:hint="eastAsia" w:asciiTheme="minorEastAsia" w:hAnsiTheme="minorEastAsia"/>
                <w:sz w:val="24"/>
                <w:szCs w:val="24"/>
              </w:rPr>
              <w:t>符合</w:t>
            </w:r>
            <w:r>
              <w:rPr>
                <w:rFonts w:asciiTheme="minorEastAsia" w:hAnsiTheme="minorEastAsia"/>
                <w:sz w:val="24"/>
                <w:szCs w:val="24"/>
              </w:rPr>
              <w:t>5</w:t>
            </w:r>
            <w:r>
              <w:rPr>
                <w:rFonts w:hint="eastAsia" w:asciiTheme="minorEastAsia" w:hAnsiTheme="minorEastAsia"/>
                <w:sz w:val="24"/>
                <w:szCs w:val="24"/>
              </w:rPr>
              <w:t>分，每有1份样品不符合扣1分。</w:t>
            </w:r>
          </w:p>
        </w:tc>
        <w:tc>
          <w:tcPr>
            <w:tcW w:w="612" w:type="dxa"/>
            <w:vAlign w:val="center"/>
          </w:tcPr>
          <w:p>
            <w:pPr>
              <w:spacing w:line="300" w:lineRule="exact"/>
              <w:jc w:val="center"/>
              <w:rPr>
                <w:b/>
                <w:sz w:val="24"/>
                <w:szCs w:val="24"/>
              </w:rPr>
            </w:pPr>
            <w:r>
              <w:rPr>
                <w:b/>
                <w:sz w:val="24"/>
                <w:szCs w:val="24"/>
              </w:rPr>
              <w:t>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709" w:type="dxa"/>
            <w:vAlign w:val="center"/>
          </w:tcPr>
          <w:p>
            <w:pPr>
              <w:spacing w:line="300" w:lineRule="exact"/>
              <w:jc w:val="center"/>
              <w:rPr>
                <w:sz w:val="24"/>
                <w:szCs w:val="24"/>
              </w:rPr>
            </w:pPr>
          </w:p>
        </w:tc>
        <w:tc>
          <w:tcPr>
            <w:tcW w:w="4077" w:type="dxa"/>
            <w:gridSpan w:val="3"/>
            <w:vAlign w:val="center"/>
          </w:tcPr>
          <w:p>
            <w:pPr>
              <w:spacing w:line="300" w:lineRule="exact"/>
              <w:jc w:val="center"/>
              <w:rPr>
                <w:sz w:val="24"/>
                <w:szCs w:val="24"/>
              </w:rPr>
            </w:pPr>
            <w:r>
              <w:rPr>
                <w:rFonts w:hint="eastAsia"/>
                <w:sz w:val="24"/>
                <w:szCs w:val="24"/>
              </w:rPr>
              <w:t>合计</w:t>
            </w:r>
          </w:p>
        </w:tc>
        <w:tc>
          <w:tcPr>
            <w:tcW w:w="3619" w:type="dxa"/>
            <w:vAlign w:val="center"/>
          </w:tcPr>
          <w:p>
            <w:pPr>
              <w:spacing w:line="300" w:lineRule="exact"/>
              <w:jc w:val="center"/>
              <w:rPr>
                <w:sz w:val="24"/>
                <w:szCs w:val="24"/>
              </w:rPr>
            </w:pPr>
          </w:p>
        </w:tc>
        <w:tc>
          <w:tcPr>
            <w:tcW w:w="612" w:type="dxa"/>
            <w:vAlign w:val="center"/>
          </w:tcPr>
          <w:p>
            <w:pPr>
              <w:spacing w:line="300" w:lineRule="exact"/>
              <w:jc w:val="center"/>
              <w:rPr>
                <w:b/>
                <w:sz w:val="24"/>
                <w:szCs w:val="24"/>
              </w:rPr>
            </w:pPr>
            <w:r>
              <w:rPr>
                <w:rFonts w:hint="eastAsia"/>
                <w:b/>
                <w:sz w:val="24"/>
                <w:szCs w:val="24"/>
              </w:rPr>
              <w:t>35</w:t>
            </w:r>
          </w:p>
        </w:tc>
        <w:tc>
          <w:tcPr>
            <w:tcW w:w="612" w:type="dxa"/>
            <w:vAlign w:val="center"/>
          </w:tcPr>
          <w:p>
            <w:pPr>
              <w:spacing w:line="30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4786" w:type="dxa"/>
            <w:gridSpan w:val="4"/>
            <w:vAlign w:val="center"/>
          </w:tcPr>
          <w:p>
            <w:pPr>
              <w:spacing w:line="300" w:lineRule="exact"/>
              <w:jc w:val="center"/>
              <w:rPr>
                <w:sz w:val="24"/>
                <w:szCs w:val="24"/>
              </w:rPr>
            </w:pPr>
            <w:r>
              <w:rPr>
                <w:rFonts w:hint="eastAsia"/>
                <w:sz w:val="24"/>
                <w:szCs w:val="24"/>
              </w:rPr>
              <w:t>总计得分</w:t>
            </w:r>
          </w:p>
        </w:tc>
        <w:tc>
          <w:tcPr>
            <w:tcW w:w="3619" w:type="dxa"/>
            <w:vAlign w:val="center"/>
          </w:tcPr>
          <w:p>
            <w:pPr>
              <w:spacing w:line="300" w:lineRule="exact"/>
              <w:jc w:val="center"/>
              <w:rPr>
                <w:sz w:val="24"/>
                <w:szCs w:val="24"/>
              </w:rPr>
            </w:pPr>
          </w:p>
        </w:tc>
        <w:tc>
          <w:tcPr>
            <w:tcW w:w="612" w:type="dxa"/>
            <w:vAlign w:val="center"/>
          </w:tcPr>
          <w:p>
            <w:pPr>
              <w:spacing w:line="300" w:lineRule="exact"/>
              <w:jc w:val="center"/>
              <w:rPr>
                <w:b/>
                <w:sz w:val="24"/>
                <w:szCs w:val="24"/>
              </w:rPr>
            </w:pPr>
            <w:r>
              <w:rPr>
                <w:rFonts w:hint="eastAsia"/>
                <w:b/>
                <w:sz w:val="24"/>
                <w:szCs w:val="24"/>
              </w:rPr>
              <w:t>100</w:t>
            </w:r>
          </w:p>
        </w:tc>
        <w:tc>
          <w:tcPr>
            <w:tcW w:w="612" w:type="dxa"/>
            <w:vAlign w:val="center"/>
          </w:tcPr>
          <w:p>
            <w:pPr>
              <w:spacing w:line="300" w:lineRule="exact"/>
              <w:jc w:val="center"/>
              <w:rPr>
                <w:sz w:val="24"/>
                <w:szCs w:val="24"/>
              </w:rPr>
            </w:pPr>
          </w:p>
        </w:tc>
      </w:tr>
    </w:tbl>
    <w:p>
      <w:pPr>
        <w:rPr>
          <w:sz w:val="24"/>
          <w:szCs w:val="24"/>
        </w:rPr>
      </w:pPr>
      <w:r>
        <w:rPr>
          <w:sz w:val="24"/>
          <w:szCs w:val="24"/>
        </w:rPr>
        <w:t>备注</w:t>
      </w:r>
      <w:r>
        <w:rPr>
          <w:rFonts w:hint="eastAsia"/>
          <w:sz w:val="24"/>
          <w:szCs w:val="24"/>
        </w:rPr>
        <w:t>：</w:t>
      </w:r>
      <w:r>
        <w:rPr>
          <w:sz w:val="24"/>
          <w:szCs w:val="24"/>
        </w:rPr>
        <w:t>评分依据</w:t>
      </w:r>
      <w:r>
        <w:rPr>
          <w:rFonts w:hint="eastAsia"/>
          <w:sz w:val="24"/>
          <w:szCs w:val="24"/>
        </w:rPr>
        <w:t>《&lt;国家水生动物疫病监测计划&gt;技术规范（第四版）（鱼类）》和《&lt;国家水生动物疫病监测计划&gt;技术规范（第四版）（虾类）》</w:t>
      </w:r>
    </w:p>
    <w:p>
      <w:pPr>
        <w:rPr>
          <w:b/>
          <w:sz w:val="18"/>
          <w:szCs w:val="18"/>
        </w:rPr>
      </w:pPr>
    </w:p>
    <w:p>
      <w:pPr>
        <w:rPr>
          <w:b/>
          <w:sz w:val="18"/>
          <w:szCs w:val="18"/>
        </w:rPr>
      </w:pPr>
    </w:p>
    <w:p>
      <w:pPr>
        <w:rPr>
          <w:b/>
          <w:sz w:val="18"/>
          <w:szCs w:val="18"/>
        </w:rPr>
      </w:pPr>
    </w:p>
    <w:p>
      <w:pPr>
        <w:rPr>
          <w:b/>
          <w:sz w:val="18"/>
          <w:szCs w:val="18"/>
        </w:rPr>
      </w:pPr>
      <w:r>
        <w:rPr>
          <w:b/>
          <w:sz w:val="18"/>
          <w:szCs w:val="18"/>
        </w:rPr>
        <w:br w:type="page"/>
      </w:r>
    </w:p>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6</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预报信息格式</w:t>
      </w:r>
    </w:p>
    <w:p>
      <w:pPr>
        <w:spacing w:line="360" w:lineRule="auto"/>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年X月XX省（区、市）水产养殖病害预测预报（方正小标宋简体 二号）</w:t>
      </w:r>
    </w:p>
    <w:p>
      <w:pPr>
        <w:spacing w:line="360" w:lineRule="auto"/>
        <w:jc w:val="center"/>
        <w:rPr>
          <w:rFonts w:ascii="仿宋" w:hAnsi="仿宋" w:eastAsia="仿宋_GB2312" w:cs="仿宋"/>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XX水产技术推广站（单位名称，国标仿宋三号）</w:t>
      </w:r>
    </w:p>
    <w:p>
      <w:pPr>
        <w:spacing w:line="360" w:lineRule="auto"/>
        <w:jc w:val="center"/>
        <w:rPr>
          <w:rFonts w:ascii="仿宋_GB2312" w:hAnsi="宋体" w:eastAsia="仿宋_GB2312"/>
          <w:sz w:val="32"/>
          <w:szCs w:val="32"/>
          <w:u w:val="single"/>
        </w:rPr>
      </w:pPr>
      <w:r>
        <w:rPr>
          <w:rFonts w:hint="eastAsia" w:ascii="仿宋_GB2312" w:hAnsi="宋体" w:eastAsia="仿宋_GB2312"/>
          <w:sz w:val="32"/>
          <w:szCs w:val="32"/>
          <w:u w:val="single"/>
        </w:rPr>
        <w:t>审签：XXX　　审核：XXX  分析员：XXX（国标仿宋三号）</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正文：</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一级标题（黑体 三号）</w:t>
      </w:r>
      <w:r>
        <w:rPr>
          <w:rFonts w:hint="eastAsia" w:ascii="仿宋_GB2312" w:hAnsi="仿宋_GB2312" w:eastAsia="仿宋_GB2312" w:cs="仿宋_GB2312"/>
          <w:sz w:val="32"/>
          <w:szCs w:val="32"/>
        </w:rPr>
        <w:t xml:space="preserve"> </w:t>
      </w:r>
    </w:p>
    <w:p>
      <w:pPr>
        <w:spacing w:line="360" w:lineRule="auto"/>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二级标题（楷体加粗 三号）</w:t>
      </w:r>
      <w:r>
        <w:rPr>
          <w:rFonts w:hint="eastAsia" w:ascii="仿宋_GB2312" w:hAnsi="仿宋_GB2312" w:eastAsia="仿宋_GB2312" w:cs="仿宋_GB2312"/>
          <w:sz w:val="32"/>
          <w:szCs w:val="32"/>
        </w:rPr>
        <w:t xml:space="preserve">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正文及其他（</w:t>
      </w:r>
      <w:r>
        <w:rPr>
          <w:rFonts w:hint="eastAsia" w:ascii="仿宋_GB2312" w:hAnsi="仿宋_GB2312" w:eastAsia="仿宋_GB2312" w:cs="仿宋_GB2312"/>
          <w:kern w:val="0"/>
          <w:sz w:val="32"/>
          <w:szCs w:val="32"/>
          <w:shd w:val="clear" w:color="auto" w:fill="FFFFFF"/>
          <w:lang w:bidi="ar"/>
        </w:rPr>
        <w:t xml:space="preserve">国标仿宋 三号 </w:t>
      </w:r>
      <w:r>
        <w:rPr>
          <w:rFonts w:hint="eastAsia" w:ascii="仿宋_GB2312" w:hAnsi="仿宋_GB2312" w:eastAsia="仿宋_GB2312" w:cs="仿宋_GB2312"/>
          <w:sz w:val="32"/>
          <w:szCs w:val="32"/>
        </w:rPr>
        <w:t>）</w:t>
      </w:r>
    </w:p>
    <w:p>
      <w:pPr>
        <w:rPr>
          <w:b/>
          <w:sz w:val="18"/>
          <w:szCs w:val="18"/>
        </w:rPr>
      </w:pPr>
    </w:p>
    <w:p>
      <w:pPr>
        <w:rPr>
          <w:b/>
          <w:sz w:val="18"/>
          <w:szCs w:val="18"/>
        </w:rPr>
      </w:pPr>
    </w:p>
    <w:p>
      <w:pPr>
        <w:pStyle w:val="16"/>
        <w:ind w:firstLine="0" w:firstLineChars="0"/>
        <w:rPr>
          <w:rFonts w:ascii="黑体" w:hAnsi="黑体" w:eastAsia="黑体" w:cs="黑体"/>
          <w:bCs/>
          <w:sz w:val="32"/>
          <w:szCs w:val="32"/>
        </w:rPr>
      </w:pPr>
    </w:p>
    <w:p>
      <w:pPr>
        <w:pStyle w:val="16"/>
        <w:ind w:firstLine="0" w:firstLineChars="0"/>
        <w:rPr>
          <w:rFonts w:ascii="黑体" w:hAnsi="黑体" w:eastAsia="黑体" w:cs="黑体"/>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4253"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
      <w:suff w:val="nothing"/>
      <w:lvlText w:val="%1.%2.%3　"/>
      <w:lvlJc w:val="left"/>
      <w:pPr>
        <w:ind w:left="170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pStyle w:val="34"/>
      <w:suff w:val="nothing"/>
      <w:lvlText w:val="%1"/>
      <w:lvlJc w:val="left"/>
      <w:pPr>
        <w:ind w:left="0" w:firstLine="0"/>
      </w:pPr>
      <w:rPr>
        <w:rFonts w:hint="eastAsia"/>
      </w:rPr>
    </w:lvl>
    <w:lvl w:ilvl="1" w:tentative="0">
      <w:start w:val="1"/>
      <w:numFmt w:val="decimal"/>
      <w:pStyle w:val="32"/>
      <w:suff w:val="nothing"/>
      <w:lvlText w:val="%1%2　"/>
      <w:lvlJc w:val="left"/>
      <w:pPr>
        <w:ind w:left="0" w:firstLine="0"/>
      </w:pPr>
      <w:rPr>
        <w:rFonts w:hint="eastAsia" w:ascii="黑体" w:eastAsia="黑体"/>
        <w:b w:val="0"/>
        <w:i w:val="0"/>
        <w:sz w:val="21"/>
      </w:rPr>
    </w:lvl>
    <w:lvl w:ilvl="2" w:tentative="0">
      <w:start w:val="1"/>
      <w:numFmt w:val="decimal"/>
      <w:pStyle w:val="33"/>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28"/>
      <w:suff w:val="nothing"/>
      <w:lvlText w:val="%1%2.%3.%4　"/>
      <w:lvlJc w:val="left"/>
      <w:pPr>
        <w:ind w:left="4820" w:firstLine="0"/>
      </w:pPr>
      <w:rPr>
        <w:rFonts w:hint="eastAsia" w:ascii="黑体" w:eastAsia="黑体"/>
        <w:b w:val="0"/>
        <w:i w:val="0"/>
        <w:sz w:val="21"/>
      </w:rPr>
    </w:lvl>
    <w:lvl w:ilvl="4" w:tentative="0">
      <w:start w:val="1"/>
      <w:numFmt w:val="decimal"/>
      <w:pStyle w:val="29"/>
      <w:suff w:val="nothing"/>
      <w:lvlText w:val="%1%2.%3.%4.%5　"/>
      <w:lvlJc w:val="left"/>
      <w:pPr>
        <w:ind w:left="993" w:firstLine="0"/>
      </w:pPr>
      <w:rPr>
        <w:rFonts w:hint="eastAsia" w:ascii="黑体" w:eastAsia="黑体"/>
        <w:b w:val="0"/>
        <w:i w:val="0"/>
        <w:sz w:val="21"/>
      </w:rPr>
    </w:lvl>
    <w:lvl w:ilvl="5" w:tentative="0">
      <w:start w:val="1"/>
      <w:numFmt w:val="decimal"/>
      <w:pStyle w:val="30"/>
      <w:suff w:val="nothing"/>
      <w:lvlText w:val="%1%2.%3.%4.%5.%6　"/>
      <w:lvlJc w:val="left"/>
      <w:pPr>
        <w:ind w:left="0" w:firstLine="0"/>
      </w:pPr>
      <w:rPr>
        <w:rFonts w:hint="eastAsia" w:ascii="黑体" w:eastAsia="黑体"/>
        <w:b w:val="0"/>
        <w:i w:val="0"/>
        <w:sz w:val="21"/>
      </w:rPr>
    </w:lvl>
    <w:lvl w:ilvl="6" w:tentative="0">
      <w:start w:val="1"/>
      <w:numFmt w:val="decimal"/>
      <w:pStyle w:val="3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C5"/>
    <w:rsid w:val="000008FD"/>
    <w:rsid w:val="00010EE3"/>
    <w:rsid w:val="00011268"/>
    <w:rsid w:val="00012F7E"/>
    <w:rsid w:val="00012FDA"/>
    <w:rsid w:val="000139BE"/>
    <w:rsid w:val="00014B4A"/>
    <w:rsid w:val="00016B5C"/>
    <w:rsid w:val="000265B4"/>
    <w:rsid w:val="00032D15"/>
    <w:rsid w:val="00035560"/>
    <w:rsid w:val="000477ED"/>
    <w:rsid w:val="0005102E"/>
    <w:rsid w:val="000521D5"/>
    <w:rsid w:val="00052570"/>
    <w:rsid w:val="00055FE7"/>
    <w:rsid w:val="00070C6C"/>
    <w:rsid w:val="0007229A"/>
    <w:rsid w:val="00072721"/>
    <w:rsid w:val="0007526A"/>
    <w:rsid w:val="0007578E"/>
    <w:rsid w:val="000907AE"/>
    <w:rsid w:val="00090869"/>
    <w:rsid w:val="000920AF"/>
    <w:rsid w:val="00093876"/>
    <w:rsid w:val="00096649"/>
    <w:rsid w:val="000A077E"/>
    <w:rsid w:val="000A1F34"/>
    <w:rsid w:val="000A3F5A"/>
    <w:rsid w:val="000A605C"/>
    <w:rsid w:val="000C2EF4"/>
    <w:rsid w:val="000C2F16"/>
    <w:rsid w:val="000C5E38"/>
    <w:rsid w:val="000D2D08"/>
    <w:rsid w:val="000D44E3"/>
    <w:rsid w:val="000E7F0D"/>
    <w:rsid w:val="000F671C"/>
    <w:rsid w:val="000F7AA7"/>
    <w:rsid w:val="001058D2"/>
    <w:rsid w:val="00110481"/>
    <w:rsid w:val="00111180"/>
    <w:rsid w:val="00111799"/>
    <w:rsid w:val="00115A43"/>
    <w:rsid w:val="00125E7B"/>
    <w:rsid w:val="001274D6"/>
    <w:rsid w:val="001409DB"/>
    <w:rsid w:val="0014248C"/>
    <w:rsid w:val="00150928"/>
    <w:rsid w:val="00150F19"/>
    <w:rsid w:val="001517C1"/>
    <w:rsid w:val="00156251"/>
    <w:rsid w:val="00160D1E"/>
    <w:rsid w:val="00163906"/>
    <w:rsid w:val="00172618"/>
    <w:rsid w:val="00172AB2"/>
    <w:rsid w:val="00182328"/>
    <w:rsid w:val="00182F51"/>
    <w:rsid w:val="001837A5"/>
    <w:rsid w:val="00186ABB"/>
    <w:rsid w:val="001904C3"/>
    <w:rsid w:val="001923ED"/>
    <w:rsid w:val="001928ED"/>
    <w:rsid w:val="00192A92"/>
    <w:rsid w:val="00192C20"/>
    <w:rsid w:val="00196D7C"/>
    <w:rsid w:val="001A5527"/>
    <w:rsid w:val="001A5B0E"/>
    <w:rsid w:val="001B7657"/>
    <w:rsid w:val="001D0E36"/>
    <w:rsid w:val="001D1D67"/>
    <w:rsid w:val="001D37FA"/>
    <w:rsid w:val="001D55D1"/>
    <w:rsid w:val="001D659E"/>
    <w:rsid w:val="001D6A64"/>
    <w:rsid w:val="001F09AB"/>
    <w:rsid w:val="001F196A"/>
    <w:rsid w:val="001F4572"/>
    <w:rsid w:val="001F4AE0"/>
    <w:rsid w:val="001F60F3"/>
    <w:rsid w:val="00206F49"/>
    <w:rsid w:val="0021153F"/>
    <w:rsid w:val="00211A20"/>
    <w:rsid w:val="002164D4"/>
    <w:rsid w:val="00216933"/>
    <w:rsid w:val="002215D4"/>
    <w:rsid w:val="00224CFA"/>
    <w:rsid w:val="002430C2"/>
    <w:rsid w:val="0024778E"/>
    <w:rsid w:val="00251B1B"/>
    <w:rsid w:val="00256871"/>
    <w:rsid w:val="002611A8"/>
    <w:rsid w:val="00264636"/>
    <w:rsid w:val="00274AC8"/>
    <w:rsid w:val="00281DCF"/>
    <w:rsid w:val="0028216B"/>
    <w:rsid w:val="00286522"/>
    <w:rsid w:val="00287D2A"/>
    <w:rsid w:val="002A2F70"/>
    <w:rsid w:val="002C31B5"/>
    <w:rsid w:val="002C6340"/>
    <w:rsid w:val="002D2526"/>
    <w:rsid w:val="002D6097"/>
    <w:rsid w:val="002F263F"/>
    <w:rsid w:val="002F52AB"/>
    <w:rsid w:val="002F6F0C"/>
    <w:rsid w:val="00301FBB"/>
    <w:rsid w:val="00305932"/>
    <w:rsid w:val="00306B58"/>
    <w:rsid w:val="0031289C"/>
    <w:rsid w:val="00312F31"/>
    <w:rsid w:val="00321DCF"/>
    <w:rsid w:val="0032266E"/>
    <w:rsid w:val="0032624A"/>
    <w:rsid w:val="003272D2"/>
    <w:rsid w:val="0033702D"/>
    <w:rsid w:val="00337920"/>
    <w:rsid w:val="003456D9"/>
    <w:rsid w:val="00353101"/>
    <w:rsid w:val="003549A8"/>
    <w:rsid w:val="0035712A"/>
    <w:rsid w:val="003703EE"/>
    <w:rsid w:val="00370A71"/>
    <w:rsid w:val="003738B2"/>
    <w:rsid w:val="00373B11"/>
    <w:rsid w:val="00373F31"/>
    <w:rsid w:val="0037634B"/>
    <w:rsid w:val="00376992"/>
    <w:rsid w:val="00376A1A"/>
    <w:rsid w:val="00386270"/>
    <w:rsid w:val="00387E49"/>
    <w:rsid w:val="0039031B"/>
    <w:rsid w:val="00395A8F"/>
    <w:rsid w:val="00397F20"/>
    <w:rsid w:val="003A4D24"/>
    <w:rsid w:val="003A6AD1"/>
    <w:rsid w:val="003D149D"/>
    <w:rsid w:val="003D2417"/>
    <w:rsid w:val="003D6477"/>
    <w:rsid w:val="003E11B5"/>
    <w:rsid w:val="003E1FF5"/>
    <w:rsid w:val="003E62C5"/>
    <w:rsid w:val="003E7906"/>
    <w:rsid w:val="003F0161"/>
    <w:rsid w:val="003F63D0"/>
    <w:rsid w:val="004067AC"/>
    <w:rsid w:val="004113DA"/>
    <w:rsid w:val="00421230"/>
    <w:rsid w:val="004257B8"/>
    <w:rsid w:val="004266B7"/>
    <w:rsid w:val="0042725C"/>
    <w:rsid w:val="00427DA5"/>
    <w:rsid w:val="00430461"/>
    <w:rsid w:val="00433259"/>
    <w:rsid w:val="00440A70"/>
    <w:rsid w:val="00443B71"/>
    <w:rsid w:val="004476CD"/>
    <w:rsid w:val="00450771"/>
    <w:rsid w:val="0045219B"/>
    <w:rsid w:val="00453906"/>
    <w:rsid w:val="00454E01"/>
    <w:rsid w:val="00462FEF"/>
    <w:rsid w:val="004640E2"/>
    <w:rsid w:val="00475E24"/>
    <w:rsid w:val="004774D7"/>
    <w:rsid w:val="0049250F"/>
    <w:rsid w:val="00495765"/>
    <w:rsid w:val="004A092A"/>
    <w:rsid w:val="004A3C52"/>
    <w:rsid w:val="004A447B"/>
    <w:rsid w:val="004A76A1"/>
    <w:rsid w:val="004A7CAD"/>
    <w:rsid w:val="004C150B"/>
    <w:rsid w:val="004C516E"/>
    <w:rsid w:val="004D10DF"/>
    <w:rsid w:val="004D5A2B"/>
    <w:rsid w:val="004F2374"/>
    <w:rsid w:val="004F3398"/>
    <w:rsid w:val="004F68E2"/>
    <w:rsid w:val="00502A10"/>
    <w:rsid w:val="00506436"/>
    <w:rsid w:val="005103A9"/>
    <w:rsid w:val="00512892"/>
    <w:rsid w:val="00517E8C"/>
    <w:rsid w:val="00520729"/>
    <w:rsid w:val="00520B76"/>
    <w:rsid w:val="00523053"/>
    <w:rsid w:val="00524DA3"/>
    <w:rsid w:val="00526730"/>
    <w:rsid w:val="00526E2E"/>
    <w:rsid w:val="00530ED4"/>
    <w:rsid w:val="00542635"/>
    <w:rsid w:val="00543127"/>
    <w:rsid w:val="005443AA"/>
    <w:rsid w:val="00554F61"/>
    <w:rsid w:val="0056528D"/>
    <w:rsid w:val="00570A09"/>
    <w:rsid w:val="00572854"/>
    <w:rsid w:val="00581493"/>
    <w:rsid w:val="00581C62"/>
    <w:rsid w:val="00584A1E"/>
    <w:rsid w:val="00591421"/>
    <w:rsid w:val="00597F56"/>
    <w:rsid w:val="005A1040"/>
    <w:rsid w:val="005A66CA"/>
    <w:rsid w:val="005B56DA"/>
    <w:rsid w:val="005B59E8"/>
    <w:rsid w:val="005D19EF"/>
    <w:rsid w:val="005E321B"/>
    <w:rsid w:val="005F26FB"/>
    <w:rsid w:val="005F3D47"/>
    <w:rsid w:val="00601F44"/>
    <w:rsid w:val="0060544F"/>
    <w:rsid w:val="00611FA2"/>
    <w:rsid w:val="00615370"/>
    <w:rsid w:val="0061623A"/>
    <w:rsid w:val="006245BF"/>
    <w:rsid w:val="006334D2"/>
    <w:rsid w:val="00633CA7"/>
    <w:rsid w:val="00634942"/>
    <w:rsid w:val="00640398"/>
    <w:rsid w:val="00640487"/>
    <w:rsid w:val="00640A4C"/>
    <w:rsid w:val="006412A2"/>
    <w:rsid w:val="00650740"/>
    <w:rsid w:val="006528A0"/>
    <w:rsid w:val="006551C8"/>
    <w:rsid w:val="00655C45"/>
    <w:rsid w:val="0067487F"/>
    <w:rsid w:val="00675C1F"/>
    <w:rsid w:val="00683042"/>
    <w:rsid w:val="00684D02"/>
    <w:rsid w:val="006928B3"/>
    <w:rsid w:val="00696A54"/>
    <w:rsid w:val="006A7C87"/>
    <w:rsid w:val="006B5FE9"/>
    <w:rsid w:val="006C473E"/>
    <w:rsid w:val="006C6CE3"/>
    <w:rsid w:val="006D05C4"/>
    <w:rsid w:val="006D5021"/>
    <w:rsid w:val="006D5A69"/>
    <w:rsid w:val="006D7183"/>
    <w:rsid w:val="006E0297"/>
    <w:rsid w:val="006E6613"/>
    <w:rsid w:val="006E6EF3"/>
    <w:rsid w:val="006F3A89"/>
    <w:rsid w:val="006F56D2"/>
    <w:rsid w:val="00705DC8"/>
    <w:rsid w:val="00706105"/>
    <w:rsid w:val="00707BEB"/>
    <w:rsid w:val="00721232"/>
    <w:rsid w:val="00726051"/>
    <w:rsid w:val="007268B8"/>
    <w:rsid w:val="00726B63"/>
    <w:rsid w:val="00731089"/>
    <w:rsid w:val="0073734A"/>
    <w:rsid w:val="00737B18"/>
    <w:rsid w:val="00740104"/>
    <w:rsid w:val="00742221"/>
    <w:rsid w:val="0074284D"/>
    <w:rsid w:val="00744E04"/>
    <w:rsid w:val="00746C3F"/>
    <w:rsid w:val="00746FBB"/>
    <w:rsid w:val="00762E8E"/>
    <w:rsid w:val="00764FCE"/>
    <w:rsid w:val="00773CC4"/>
    <w:rsid w:val="00775490"/>
    <w:rsid w:val="007764C6"/>
    <w:rsid w:val="007811FC"/>
    <w:rsid w:val="00783E76"/>
    <w:rsid w:val="007844B4"/>
    <w:rsid w:val="00787D29"/>
    <w:rsid w:val="00790CD6"/>
    <w:rsid w:val="007939E1"/>
    <w:rsid w:val="00794085"/>
    <w:rsid w:val="007940DD"/>
    <w:rsid w:val="00796547"/>
    <w:rsid w:val="007B073E"/>
    <w:rsid w:val="007B38E8"/>
    <w:rsid w:val="007C6BFC"/>
    <w:rsid w:val="007D1474"/>
    <w:rsid w:val="007D3248"/>
    <w:rsid w:val="007D47DC"/>
    <w:rsid w:val="007D5A7E"/>
    <w:rsid w:val="007F0522"/>
    <w:rsid w:val="007F6545"/>
    <w:rsid w:val="00805C17"/>
    <w:rsid w:val="008106A5"/>
    <w:rsid w:val="0081539D"/>
    <w:rsid w:val="0082021F"/>
    <w:rsid w:val="008212DB"/>
    <w:rsid w:val="008249E2"/>
    <w:rsid w:val="00833A11"/>
    <w:rsid w:val="008400E3"/>
    <w:rsid w:val="008428E7"/>
    <w:rsid w:val="0084457E"/>
    <w:rsid w:val="00852E23"/>
    <w:rsid w:val="00853E7C"/>
    <w:rsid w:val="008545F6"/>
    <w:rsid w:val="00857434"/>
    <w:rsid w:val="00860953"/>
    <w:rsid w:val="008764FE"/>
    <w:rsid w:val="00877FF5"/>
    <w:rsid w:val="00882475"/>
    <w:rsid w:val="008836C4"/>
    <w:rsid w:val="008848A8"/>
    <w:rsid w:val="008A226F"/>
    <w:rsid w:val="008B1E6D"/>
    <w:rsid w:val="008B2C8E"/>
    <w:rsid w:val="008B34EA"/>
    <w:rsid w:val="008C2421"/>
    <w:rsid w:val="008C4142"/>
    <w:rsid w:val="008C47C0"/>
    <w:rsid w:val="008C47F4"/>
    <w:rsid w:val="008D04E8"/>
    <w:rsid w:val="008D1BEE"/>
    <w:rsid w:val="008D2D23"/>
    <w:rsid w:val="008D3D24"/>
    <w:rsid w:val="008E488F"/>
    <w:rsid w:val="008E6175"/>
    <w:rsid w:val="008F54E9"/>
    <w:rsid w:val="00907493"/>
    <w:rsid w:val="00914C66"/>
    <w:rsid w:val="00925537"/>
    <w:rsid w:val="00926D39"/>
    <w:rsid w:val="00927CEE"/>
    <w:rsid w:val="00931BE0"/>
    <w:rsid w:val="00932668"/>
    <w:rsid w:val="00934063"/>
    <w:rsid w:val="00934A86"/>
    <w:rsid w:val="00941BC0"/>
    <w:rsid w:val="009440A1"/>
    <w:rsid w:val="00945D08"/>
    <w:rsid w:val="00945F96"/>
    <w:rsid w:val="00946678"/>
    <w:rsid w:val="009607AD"/>
    <w:rsid w:val="0096464C"/>
    <w:rsid w:val="009666F0"/>
    <w:rsid w:val="00966C2D"/>
    <w:rsid w:val="00973818"/>
    <w:rsid w:val="00976C77"/>
    <w:rsid w:val="00983A43"/>
    <w:rsid w:val="00984316"/>
    <w:rsid w:val="00986A21"/>
    <w:rsid w:val="00990141"/>
    <w:rsid w:val="00993D30"/>
    <w:rsid w:val="009A1B03"/>
    <w:rsid w:val="009B0202"/>
    <w:rsid w:val="009B349E"/>
    <w:rsid w:val="009B468B"/>
    <w:rsid w:val="009B51BE"/>
    <w:rsid w:val="009C611C"/>
    <w:rsid w:val="009D4244"/>
    <w:rsid w:val="009D6A83"/>
    <w:rsid w:val="009E55DB"/>
    <w:rsid w:val="009E695A"/>
    <w:rsid w:val="009F536E"/>
    <w:rsid w:val="009F5513"/>
    <w:rsid w:val="009F638B"/>
    <w:rsid w:val="009F7103"/>
    <w:rsid w:val="00A040A1"/>
    <w:rsid w:val="00A07674"/>
    <w:rsid w:val="00A20A68"/>
    <w:rsid w:val="00A23C75"/>
    <w:rsid w:val="00A31F5E"/>
    <w:rsid w:val="00A336F3"/>
    <w:rsid w:val="00A358B6"/>
    <w:rsid w:val="00A3718B"/>
    <w:rsid w:val="00A41649"/>
    <w:rsid w:val="00A42184"/>
    <w:rsid w:val="00A4522C"/>
    <w:rsid w:val="00A51C51"/>
    <w:rsid w:val="00A524D7"/>
    <w:rsid w:val="00A54EA9"/>
    <w:rsid w:val="00A55B2F"/>
    <w:rsid w:val="00A667AA"/>
    <w:rsid w:val="00A66CF5"/>
    <w:rsid w:val="00A7045F"/>
    <w:rsid w:val="00A71D79"/>
    <w:rsid w:val="00A76673"/>
    <w:rsid w:val="00A81EFF"/>
    <w:rsid w:val="00A859D2"/>
    <w:rsid w:val="00A86383"/>
    <w:rsid w:val="00A90201"/>
    <w:rsid w:val="00A9165E"/>
    <w:rsid w:val="00A96FF0"/>
    <w:rsid w:val="00A97A09"/>
    <w:rsid w:val="00AA243B"/>
    <w:rsid w:val="00AA3AB6"/>
    <w:rsid w:val="00AA3CAF"/>
    <w:rsid w:val="00AA77F7"/>
    <w:rsid w:val="00AB00E2"/>
    <w:rsid w:val="00AB433A"/>
    <w:rsid w:val="00AB616C"/>
    <w:rsid w:val="00AC07FB"/>
    <w:rsid w:val="00AC467B"/>
    <w:rsid w:val="00AD0757"/>
    <w:rsid w:val="00AD33D2"/>
    <w:rsid w:val="00AD6BDD"/>
    <w:rsid w:val="00AD6EAB"/>
    <w:rsid w:val="00AD74A9"/>
    <w:rsid w:val="00B024EB"/>
    <w:rsid w:val="00B050C8"/>
    <w:rsid w:val="00B10359"/>
    <w:rsid w:val="00B11329"/>
    <w:rsid w:val="00B227B4"/>
    <w:rsid w:val="00B32A88"/>
    <w:rsid w:val="00B3640C"/>
    <w:rsid w:val="00B37C28"/>
    <w:rsid w:val="00B418D1"/>
    <w:rsid w:val="00B44136"/>
    <w:rsid w:val="00B4574B"/>
    <w:rsid w:val="00B5002B"/>
    <w:rsid w:val="00B50DF5"/>
    <w:rsid w:val="00B5120A"/>
    <w:rsid w:val="00B55AF3"/>
    <w:rsid w:val="00B61FBA"/>
    <w:rsid w:val="00B66BC0"/>
    <w:rsid w:val="00B67E5C"/>
    <w:rsid w:val="00B718ED"/>
    <w:rsid w:val="00B72E74"/>
    <w:rsid w:val="00B75E88"/>
    <w:rsid w:val="00B77861"/>
    <w:rsid w:val="00B77CE8"/>
    <w:rsid w:val="00B804F5"/>
    <w:rsid w:val="00B8264F"/>
    <w:rsid w:val="00B92C16"/>
    <w:rsid w:val="00B97259"/>
    <w:rsid w:val="00BA260B"/>
    <w:rsid w:val="00BA3D08"/>
    <w:rsid w:val="00BB0BFC"/>
    <w:rsid w:val="00BC6B04"/>
    <w:rsid w:val="00BC6FF5"/>
    <w:rsid w:val="00BD5768"/>
    <w:rsid w:val="00BD58D3"/>
    <w:rsid w:val="00BE3A34"/>
    <w:rsid w:val="00BE7FC8"/>
    <w:rsid w:val="00BF7015"/>
    <w:rsid w:val="00C0434A"/>
    <w:rsid w:val="00C046B0"/>
    <w:rsid w:val="00C1007C"/>
    <w:rsid w:val="00C103F9"/>
    <w:rsid w:val="00C13A27"/>
    <w:rsid w:val="00C1580D"/>
    <w:rsid w:val="00C21F13"/>
    <w:rsid w:val="00C22271"/>
    <w:rsid w:val="00C248A8"/>
    <w:rsid w:val="00C24D53"/>
    <w:rsid w:val="00C251D8"/>
    <w:rsid w:val="00C261A0"/>
    <w:rsid w:val="00C3036E"/>
    <w:rsid w:val="00C31C14"/>
    <w:rsid w:val="00C3536C"/>
    <w:rsid w:val="00C4696B"/>
    <w:rsid w:val="00C47947"/>
    <w:rsid w:val="00C47AAA"/>
    <w:rsid w:val="00C50646"/>
    <w:rsid w:val="00C530E5"/>
    <w:rsid w:val="00C53F07"/>
    <w:rsid w:val="00C67FAB"/>
    <w:rsid w:val="00C740BB"/>
    <w:rsid w:val="00C808D5"/>
    <w:rsid w:val="00C82BEA"/>
    <w:rsid w:val="00C8685B"/>
    <w:rsid w:val="00C937EA"/>
    <w:rsid w:val="00CA085A"/>
    <w:rsid w:val="00CA0E00"/>
    <w:rsid w:val="00CA240F"/>
    <w:rsid w:val="00CA360E"/>
    <w:rsid w:val="00CA3ACD"/>
    <w:rsid w:val="00CB0693"/>
    <w:rsid w:val="00CB0AAF"/>
    <w:rsid w:val="00CB69CA"/>
    <w:rsid w:val="00CD4A89"/>
    <w:rsid w:val="00CD66E3"/>
    <w:rsid w:val="00CE712A"/>
    <w:rsid w:val="00CE7563"/>
    <w:rsid w:val="00CF0B44"/>
    <w:rsid w:val="00CF57CA"/>
    <w:rsid w:val="00D04544"/>
    <w:rsid w:val="00D0471F"/>
    <w:rsid w:val="00D174E2"/>
    <w:rsid w:val="00D23DF9"/>
    <w:rsid w:val="00D27AD3"/>
    <w:rsid w:val="00D27BCF"/>
    <w:rsid w:val="00D341F0"/>
    <w:rsid w:val="00D36F1D"/>
    <w:rsid w:val="00D41CD3"/>
    <w:rsid w:val="00D43E43"/>
    <w:rsid w:val="00D522F4"/>
    <w:rsid w:val="00D52620"/>
    <w:rsid w:val="00D52EDC"/>
    <w:rsid w:val="00D55119"/>
    <w:rsid w:val="00D66C93"/>
    <w:rsid w:val="00D6795A"/>
    <w:rsid w:val="00D72082"/>
    <w:rsid w:val="00D77A0B"/>
    <w:rsid w:val="00D80B26"/>
    <w:rsid w:val="00D84A82"/>
    <w:rsid w:val="00D93748"/>
    <w:rsid w:val="00D9702B"/>
    <w:rsid w:val="00D970DC"/>
    <w:rsid w:val="00DA03BD"/>
    <w:rsid w:val="00DA51F6"/>
    <w:rsid w:val="00DA69CE"/>
    <w:rsid w:val="00DB12A9"/>
    <w:rsid w:val="00DB3071"/>
    <w:rsid w:val="00DB3331"/>
    <w:rsid w:val="00DB3A20"/>
    <w:rsid w:val="00DB4EFE"/>
    <w:rsid w:val="00DB7D22"/>
    <w:rsid w:val="00DD0A83"/>
    <w:rsid w:val="00DD46E7"/>
    <w:rsid w:val="00DE54D1"/>
    <w:rsid w:val="00DF197E"/>
    <w:rsid w:val="00DF4E04"/>
    <w:rsid w:val="00E02068"/>
    <w:rsid w:val="00E049EB"/>
    <w:rsid w:val="00E16481"/>
    <w:rsid w:val="00E27722"/>
    <w:rsid w:val="00E32CFA"/>
    <w:rsid w:val="00E36569"/>
    <w:rsid w:val="00E36CCF"/>
    <w:rsid w:val="00E42012"/>
    <w:rsid w:val="00E424C8"/>
    <w:rsid w:val="00E43CFC"/>
    <w:rsid w:val="00E469E3"/>
    <w:rsid w:val="00E536B1"/>
    <w:rsid w:val="00E618ED"/>
    <w:rsid w:val="00E70100"/>
    <w:rsid w:val="00E7049E"/>
    <w:rsid w:val="00E70E38"/>
    <w:rsid w:val="00E757C3"/>
    <w:rsid w:val="00E77D56"/>
    <w:rsid w:val="00E934FC"/>
    <w:rsid w:val="00E96A53"/>
    <w:rsid w:val="00E96C48"/>
    <w:rsid w:val="00EA0EF5"/>
    <w:rsid w:val="00EA4D63"/>
    <w:rsid w:val="00EA7CC7"/>
    <w:rsid w:val="00EB08E4"/>
    <w:rsid w:val="00EC063F"/>
    <w:rsid w:val="00EC068E"/>
    <w:rsid w:val="00EC69FA"/>
    <w:rsid w:val="00ED41EC"/>
    <w:rsid w:val="00ED5234"/>
    <w:rsid w:val="00ED572A"/>
    <w:rsid w:val="00ED5F4D"/>
    <w:rsid w:val="00ED6792"/>
    <w:rsid w:val="00EE760B"/>
    <w:rsid w:val="00EE7F4B"/>
    <w:rsid w:val="00EF4C3E"/>
    <w:rsid w:val="00F154E3"/>
    <w:rsid w:val="00F2175E"/>
    <w:rsid w:val="00F23E25"/>
    <w:rsid w:val="00F37B9C"/>
    <w:rsid w:val="00F40BD4"/>
    <w:rsid w:val="00F45505"/>
    <w:rsid w:val="00F47267"/>
    <w:rsid w:val="00F51CC5"/>
    <w:rsid w:val="00F51DCD"/>
    <w:rsid w:val="00F64328"/>
    <w:rsid w:val="00F64C68"/>
    <w:rsid w:val="00F6690D"/>
    <w:rsid w:val="00F67CE2"/>
    <w:rsid w:val="00F71026"/>
    <w:rsid w:val="00F869C5"/>
    <w:rsid w:val="00F90B51"/>
    <w:rsid w:val="00F90FB5"/>
    <w:rsid w:val="00F91440"/>
    <w:rsid w:val="00F93D8F"/>
    <w:rsid w:val="00F945AF"/>
    <w:rsid w:val="00FA13ED"/>
    <w:rsid w:val="00FA1B1D"/>
    <w:rsid w:val="00FA2A23"/>
    <w:rsid w:val="00FA57CE"/>
    <w:rsid w:val="00FB01A5"/>
    <w:rsid w:val="00FB3810"/>
    <w:rsid w:val="00FB492B"/>
    <w:rsid w:val="00FB49C1"/>
    <w:rsid w:val="00FD2E38"/>
    <w:rsid w:val="00FD766F"/>
    <w:rsid w:val="00FE494D"/>
    <w:rsid w:val="00FF0F05"/>
    <w:rsid w:val="00FF119F"/>
    <w:rsid w:val="00FF21D4"/>
    <w:rsid w:val="00FF3BA3"/>
    <w:rsid w:val="00FF74A1"/>
    <w:rsid w:val="02B53D3D"/>
    <w:rsid w:val="02F301A0"/>
    <w:rsid w:val="03632BCC"/>
    <w:rsid w:val="03F75AB7"/>
    <w:rsid w:val="051F576D"/>
    <w:rsid w:val="067C2F47"/>
    <w:rsid w:val="08A557FA"/>
    <w:rsid w:val="0C8F02BD"/>
    <w:rsid w:val="0D0E0664"/>
    <w:rsid w:val="0D4D0C43"/>
    <w:rsid w:val="0F0E0A64"/>
    <w:rsid w:val="1658213F"/>
    <w:rsid w:val="17D130CA"/>
    <w:rsid w:val="18B83673"/>
    <w:rsid w:val="1A953915"/>
    <w:rsid w:val="1BB300EA"/>
    <w:rsid w:val="1BF61EAF"/>
    <w:rsid w:val="1F401760"/>
    <w:rsid w:val="20D839E1"/>
    <w:rsid w:val="21A35057"/>
    <w:rsid w:val="2348658F"/>
    <w:rsid w:val="23B64578"/>
    <w:rsid w:val="24B21EE0"/>
    <w:rsid w:val="24EA4133"/>
    <w:rsid w:val="273E7856"/>
    <w:rsid w:val="2A6C097B"/>
    <w:rsid w:val="2AAB47A7"/>
    <w:rsid w:val="2B0D7774"/>
    <w:rsid w:val="303241F6"/>
    <w:rsid w:val="306E6069"/>
    <w:rsid w:val="33B27A62"/>
    <w:rsid w:val="352D53BA"/>
    <w:rsid w:val="35AB1B0E"/>
    <w:rsid w:val="35D83B7B"/>
    <w:rsid w:val="35F45254"/>
    <w:rsid w:val="37573E45"/>
    <w:rsid w:val="398A4AF8"/>
    <w:rsid w:val="3C795A39"/>
    <w:rsid w:val="3CDB503E"/>
    <w:rsid w:val="3FCB79F9"/>
    <w:rsid w:val="3FFB733C"/>
    <w:rsid w:val="404161C4"/>
    <w:rsid w:val="406D1460"/>
    <w:rsid w:val="40CB1F93"/>
    <w:rsid w:val="42227623"/>
    <w:rsid w:val="44CF53F5"/>
    <w:rsid w:val="464F1C0A"/>
    <w:rsid w:val="478B6E50"/>
    <w:rsid w:val="4A5C6EC1"/>
    <w:rsid w:val="4A765968"/>
    <w:rsid w:val="4B55178B"/>
    <w:rsid w:val="4C82216C"/>
    <w:rsid w:val="4D04487C"/>
    <w:rsid w:val="4D4A6C15"/>
    <w:rsid w:val="4D665EC7"/>
    <w:rsid w:val="4DC612D2"/>
    <w:rsid w:val="4E586BB4"/>
    <w:rsid w:val="4E824C1E"/>
    <w:rsid w:val="4EA26807"/>
    <w:rsid w:val="4FE6225C"/>
    <w:rsid w:val="54827D2C"/>
    <w:rsid w:val="576807AB"/>
    <w:rsid w:val="592143B0"/>
    <w:rsid w:val="5BF25EAB"/>
    <w:rsid w:val="5CE60EAD"/>
    <w:rsid w:val="5DD4110B"/>
    <w:rsid w:val="60423726"/>
    <w:rsid w:val="60FF6B18"/>
    <w:rsid w:val="61C7665C"/>
    <w:rsid w:val="62EB694E"/>
    <w:rsid w:val="6406351A"/>
    <w:rsid w:val="67265FB7"/>
    <w:rsid w:val="693542A6"/>
    <w:rsid w:val="69F756BE"/>
    <w:rsid w:val="6B154913"/>
    <w:rsid w:val="6B403656"/>
    <w:rsid w:val="6C12054E"/>
    <w:rsid w:val="6DCF4B6F"/>
    <w:rsid w:val="6E002106"/>
    <w:rsid w:val="6E3B5ECC"/>
    <w:rsid w:val="6FAF5F45"/>
    <w:rsid w:val="70924399"/>
    <w:rsid w:val="752A6EE4"/>
    <w:rsid w:val="75B70236"/>
    <w:rsid w:val="765B279A"/>
    <w:rsid w:val="76BC09C8"/>
    <w:rsid w:val="774A54BC"/>
    <w:rsid w:val="77810C51"/>
    <w:rsid w:val="7ACF394B"/>
    <w:rsid w:val="7D4B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1"/>
    <w:qFormat/>
    <w:uiPriority w:val="0"/>
    <w:pPr>
      <w:widowControl/>
      <w:spacing w:after="120" w:line="360" w:lineRule="auto"/>
      <w:ind w:left="420" w:leftChars="200"/>
      <w:jc w:val="left"/>
    </w:pPr>
    <w:rPr>
      <w:rFonts w:ascii="Times New Roman" w:hAnsi="Times New Roman" w:eastAsia="宋体" w:cs="Times New Roman"/>
      <w:sz w:val="20"/>
      <w:szCs w:val="20"/>
    </w:rPr>
  </w:style>
  <w:style w:type="paragraph" w:styleId="3">
    <w:name w:val="Balloon Text"/>
    <w:basedOn w:val="1"/>
    <w:link w:val="19"/>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sz w:val="24"/>
      <w:szCs w:val="24"/>
    </w:rPr>
  </w:style>
  <w:style w:type="table" w:styleId="8">
    <w:name w:val="Table Grid"/>
    <w:basedOn w:val="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FollowedHyperlink"/>
    <w:basedOn w:val="9"/>
    <w:semiHidden/>
    <w:unhideWhenUsed/>
    <w:qFormat/>
    <w:uiPriority w:val="99"/>
    <w:rPr>
      <w:color w:val="2490F8"/>
      <w:u w:val="none"/>
    </w:rPr>
  </w:style>
  <w:style w:type="character" w:styleId="11">
    <w:name w:val="HTML Definition"/>
    <w:basedOn w:val="9"/>
    <w:semiHidden/>
    <w:unhideWhenUsed/>
    <w:qFormat/>
    <w:uiPriority w:val="99"/>
  </w:style>
  <w:style w:type="character" w:styleId="12">
    <w:name w:val="HTML Variable"/>
    <w:basedOn w:val="9"/>
    <w:semiHidden/>
    <w:unhideWhenUsed/>
    <w:qFormat/>
    <w:uiPriority w:val="99"/>
  </w:style>
  <w:style w:type="character" w:styleId="13">
    <w:name w:val="Hyperlink"/>
    <w:basedOn w:val="9"/>
    <w:semiHidden/>
    <w:unhideWhenUsed/>
    <w:qFormat/>
    <w:uiPriority w:val="99"/>
    <w:rPr>
      <w:color w:val="2490F8"/>
      <w:u w:val="none"/>
    </w:rPr>
  </w:style>
  <w:style w:type="character" w:styleId="14">
    <w:name w:val="HTML Code"/>
    <w:basedOn w:val="9"/>
    <w:semiHidden/>
    <w:unhideWhenUsed/>
    <w:qFormat/>
    <w:uiPriority w:val="99"/>
    <w:rPr>
      <w:rFonts w:ascii="Courier New" w:hAnsi="Courier New"/>
      <w:sz w:val="20"/>
    </w:rPr>
  </w:style>
  <w:style w:type="character" w:styleId="15">
    <w:name w:val="HTML Cite"/>
    <w:basedOn w:val="9"/>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9"/>
    <w:link w:val="5"/>
    <w:qFormat/>
    <w:uiPriority w:val="99"/>
    <w:rPr>
      <w:sz w:val="18"/>
      <w:szCs w:val="18"/>
    </w:rPr>
  </w:style>
  <w:style w:type="character" w:customStyle="1" w:styleId="18">
    <w:name w:val="页脚 Char"/>
    <w:basedOn w:val="9"/>
    <w:link w:val="4"/>
    <w:qFormat/>
    <w:uiPriority w:val="99"/>
    <w:rPr>
      <w:sz w:val="18"/>
      <w:szCs w:val="18"/>
    </w:rPr>
  </w:style>
  <w:style w:type="character" w:customStyle="1" w:styleId="19">
    <w:name w:val="批注框文本 Char"/>
    <w:basedOn w:val="9"/>
    <w:link w:val="3"/>
    <w:qFormat/>
    <w:uiPriority w:val="99"/>
    <w:rPr>
      <w:sz w:val="18"/>
      <w:szCs w:val="18"/>
    </w:rPr>
  </w:style>
  <w:style w:type="paragraph" w:customStyle="1" w:styleId="20">
    <w:name w:val="其他标准称谓"/>
    <w:qFormat/>
    <w:uiPriority w:val="0"/>
    <w:pPr>
      <w:spacing w:line="0" w:lineRule="atLeast"/>
      <w:jc w:val="distribute"/>
    </w:pPr>
    <w:rPr>
      <w:rFonts w:ascii="黑体" w:hAnsi="宋体" w:eastAsia="黑体" w:cstheme="minorBidi"/>
      <w:sz w:val="52"/>
      <w:szCs w:val="22"/>
      <w:lang w:val="en-US" w:eastAsia="zh-CN" w:bidi="ar-SA"/>
    </w:rPr>
  </w:style>
  <w:style w:type="character" w:customStyle="1" w:styleId="21">
    <w:name w:val="正文文本缩进 Char"/>
    <w:basedOn w:val="9"/>
    <w:link w:val="2"/>
    <w:qFormat/>
    <w:uiPriority w:val="0"/>
    <w:rPr>
      <w:kern w:val="2"/>
    </w:rPr>
  </w:style>
  <w:style w:type="paragraph" w:customStyle="1" w:styleId="22">
    <w:name w:val="_Style 15"/>
    <w:basedOn w:val="1"/>
    <w:next w:val="16"/>
    <w:qFormat/>
    <w:uiPriority w:val="34"/>
    <w:pPr>
      <w:ind w:firstLine="420" w:firstLineChars="200"/>
    </w:pPr>
    <w:rPr>
      <w:rFonts w:ascii="Calibri" w:hAnsi="Calibri" w:eastAsia="宋体" w:cs="Times New Roman"/>
    </w:rPr>
  </w:style>
  <w:style w:type="paragraph" w:customStyle="1" w:styleId="23">
    <w:name w:val="_Style 2"/>
    <w:basedOn w:val="1"/>
    <w:next w:val="16"/>
    <w:qFormat/>
    <w:uiPriority w:val="34"/>
    <w:pPr>
      <w:ind w:firstLine="420" w:firstLineChars="200"/>
    </w:pPr>
    <w:rPr>
      <w:rFonts w:ascii="Calibri" w:hAnsi="Calibri" w:eastAsia="宋体" w:cs="Times New Roman"/>
      <w:szCs w:val="24"/>
    </w:rPr>
  </w:style>
  <w:style w:type="paragraph" w:customStyle="1" w:styleId="24">
    <w:name w:val="二级条标题"/>
    <w:basedOn w:val="25"/>
    <w:next w:val="1"/>
    <w:qFormat/>
    <w:uiPriority w:val="0"/>
    <w:pPr>
      <w:numPr>
        <w:ilvl w:val="2"/>
      </w:numPr>
      <w:spacing w:before="50" w:after="50"/>
      <w:ind w:left="1276"/>
      <w:outlineLvl w:val="3"/>
    </w:pPr>
  </w:style>
  <w:style w:type="paragraph" w:customStyle="1" w:styleId="25">
    <w:name w:val="一级条标题"/>
    <w:next w:val="1"/>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link w:val="26"/>
    <w:qFormat/>
    <w:uiPriority w:val="0"/>
    <w:rPr>
      <w:rFonts w:ascii="宋体"/>
      <w:sz w:val="21"/>
    </w:rPr>
  </w:style>
  <w:style w:type="paragraph" w:customStyle="1" w:styleId="28">
    <w:name w:val="标准文件_二级条标题"/>
    <w:next w:val="1"/>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29">
    <w:name w:val="标准文件_三级条标题"/>
    <w:basedOn w:val="28"/>
    <w:next w:val="1"/>
    <w:qFormat/>
    <w:uiPriority w:val="0"/>
    <w:pPr>
      <w:widowControl/>
      <w:numPr>
        <w:ilvl w:val="4"/>
      </w:numPr>
      <w:ind w:left="0"/>
      <w:outlineLvl w:val="3"/>
    </w:pPr>
  </w:style>
  <w:style w:type="paragraph" w:customStyle="1" w:styleId="30">
    <w:name w:val="标准文件_四级条标题"/>
    <w:next w:val="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1">
    <w:name w:val="标准文件_五级条标题"/>
    <w:next w:val="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2">
    <w:name w:val="标准文件_章标题"/>
    <w:next w:val="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3">
    <w:name w:val="标准文件_一级条标题"/>
    <w:basedOn w:val="32"/>
    <w:next w:val="1"/>
    <w:qFormat/>
    <w:uiPriority w:val="0"/>
    <w:pPr>
      <w:numPr>
        <w:ilvl w:val="2"/>
      </w:numPr>
      <w:spacing w:before="50" w:beforeLines="50" w:after="50" w:afterLines="50"/>
      <w:ind w:left="0"/>
      <w:outlineLvl w:val="1"/>
    </w:pPr>
  </w:style>
  <w:style w:type="paragraph" w:customStyle="1" w:styleId="3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35">
    <w:name w:val="icontext2"/>
    <w:basedOn w:val="9"/>
    <w:qFormat/>
    <w:uiPriority w:val="0"/>
  </w:style>
  <w:style w:type="character" w:customStyle="1" w:styleId="36">
    <w:name w:val="hilite6"/>
    <w:basedOn w:val="9"/>
    <w:qFormat/>
    <w:uiPriority w:val="0"/>
    <w:rPr>
      <w:color w:val="FFFFFF"/>
      <w:shd w:val="clear" w:fill="666666"/>
    </w:rPr>
  </w:style>
  <w:style w:type="character" w:customStyle="1" w:styleId="37">
    <w:name w:val="active2"/>
    <w:basedOn w:val="9"/>
    <w:qFormat/>
    <w:uiPriority w:val="0"/>
    <w:rPr>
      <w:color w:val="00FF00"/>
      <w:shd w:val="clear" w:fill="111111"/>
    </w:rPr>
  </w:style>
  <w:style w:type="character" w:customStyle="1" w:styleId="38">
    <w:name w:val="tmpztreemove_arrow"/>
    <w:basedOn w:val="9"/>
    <w:qFormat/>
    <w:uiPriority w:val="0"/>
  </w:style>
  <w:style w:type="character" w:customStyle="1" w:styleId="39">
    <w:name w:val="design_class"/>
    <w:basedOn w:val="9"/>
    <w:qFormat/>
    <w:uiPriority w:val="0"/>
  </w:style>
  <w:style w:type="character" w:customStyle="1" w:styleId="40">
    <w:name w:val="iconline2"/>
    <w:basedOn w:val="9"/>
    <w:qFormat/>
    <w:uiPriority w:val="0"/>
  </w:style>
  <w:style w:type="character" w:customStyle="1" w:styleId="41">
    <w:name w:val="icontext3"/>
    <w:basedOn w:val="9"/>
    <w:qFormat/>
    <w:uiPriority w:val="0"/>
  </w:style>
  <w:style w:type="character" w:customStyle="1" w:styleId="42">
    <w:name w:val="ico1654"/>
    <w:basedOn w:val="9"/>
    <w:qFormat/>
    <w:uiPriority w:val="0"/>
  </w:style>
  <w:style w:type="character" w:customStyle="1" w:styleId="43">
    <w:name w:val="cy"/>
    <w:basedOn w:val="9"/>
    <w:qFormat/>
    <w:uiPriority w:val="0"/>
  </w:style>
  <w:style w:type="character" w:customStyle="1" w:styleId="44">
    <w:name w:val="cdropleft"/>
    <w:basedOn w:val="9"/>
    <w:qFormat/>
    <w:uiPriority w:val="0"/>
  </w:style>
  <w:style w:type="character" w:customStyle="1" w:styleId="45">
    <w:name w:val="layui-layer-tabnow"/>
    <w:basedOn w:val="9"/>
    <w:qFormat/>
    <w:uiPriority w:val="0"/>
    <w:rPr>
      <w:bdr w:val="single" w:color="CCCCCC" w:sz="6" w:space="0"/>
      <w:shd w:val="clear" w:fill="FFFFFF"/>
    </w:rPr>
  </w:style>
  <w:style w:type="character" w:customStyle="1" w:styleId="46">
    <w:name w:val="w32"/>
    <w:basedOn w:val="9"/>
    <w:qFormat/>
    <w:uiPriority w:val="0"/>
  </w:style>
  <w:style w:type="character" w:customStyle="1" w:styleId="47">
    <w:name w:val="after"/>
    <w:basedOn w:val="9"/>
    <w:qFormat/>
    <w:uiPriority w:val="0"/>
    <w:rPr>
      <w:sz w:val="0"/>
      <w:szCs w:val="0"/>
    </w:rPr>
  </w:style>
  <w:style w:type="character" w:customStyle="1" w:styleId="48">
    <w:name w:val="choosename"/>
    <w:basedOn w:val="9"/>
    <w:qFormat/>
    <w:uiPriority w:val="0"/>
  </w:style>
  <w:style w:type="character" w:customStyle="1" w:styleId="49">
    <w:name w:val="icontext1"/>
    <w:basedOn w:val="9"/>
    <w:qFormat/>
    <w:uiPriority w:val="0"/>
  </w:style>
  <w:style w:type="character" w:customStyle="1" w:styleId="50">
    <w:name w:val="icontext11"/>
    <w:basedOn w:val="9"/>
    <w:qFormat/>
    <w:uiPriority w:val="0"/>
  </w:style>
  <w:style w:type="character" w:customStyle="1" w:styleId="51">
    <w:name w:val="icontext12"/>
    <w:basedOn w:val="9"/>
    <w:qFormat/>
    <w:uiPriority w:val="0"/>
  </w:style>
  <w:style w:type="character" w:customStyle="1" w:styleId="52">
    <w:name w:val="pagechatarealistclose_box"/>
    <w:basedOn w:val="9"/>
    <w:qFormat/>
    <w:uiPriority w:val="0"/>
  </w:style>
  <w:style w:type="character" w:customStyle="1" w:styleId="53">
    <w:name w:val="pagechatarealistclose_box1"/>
    <w:basedOn w:val="9"/>
    <w:qFormat/>
    <w:uiPriority w:val="0"/>
  </w:style>
  <w:style w:type="character" w:customStyle="1" w:styleId="54">
    <w:name w:val="biggerthanmax"/>
    <w:basedOn w:val="9"/>
    <w:qFormat/>
    <w:uiPriority w:val="0"/>
    <w:rPr>
      <w:shd w:val="clear" w:fill="FFFF00"/>
    </w:rPr>
  </w:style>
  <w:style w:type="character" w:customStyle="1" w:styleId="55">
    <w:name w:val="associateddata"/>
    <w:basedOn w:val="9"/>
    <w:qFormat/>
    <w:uiPriority w:val="0"/>
    <w:rPr>
      <w:shd w:val="clear" w:fill="50A6F9"/>
    </w:rPr>
  </w:style>
  <w:style w:type="character" w:customStyle="1" w:styleId="56">
    <w:name w:val="first-child"/>
    <w:basedOn w:val="9"/>
    <w:qFormat/>
    <w:uiPriority w:val="0"/>
  </w:style>
  <w:style w:type="character" w:customStyle="1" w:styleId="57">
    <w:name w:val="edit_class"/>
    <w:basedOn w:val="9"/>
    <w:qFormat/>
    <w:uiPriority w:val="0"/>
  </w:style>
  <w:style w:type="character" w:customStyle="1" w:styleId="58">
    <w:name w:val="cdropright"/>
    <w:basedOn w:val="9"/>
    <w:qFormat/>
    <w:uiPriority w:val="0"/>
  </w:style>
  <w:style w:type="character" w:customStyle="1" w:styleId="59">
    <w:name w:val="drapbtn"/>
    <w:basedOn w:val="9"/>
    <w:qFormat/>
    <w:uiPriority w:val="0"/>
  </w:style>
  <w:style w:type="character" w:customStyle="1" w:styleId="60">
    <w:name w:val="button4"/>
    <w:basedOn w:val="9"/>
    <w:qFormat/>
    <w:uiPriority w:val="0"/>
  </w:style>
  <w:style w:type="character" w:customStyle="1" w:styleId="61">
    <w:name w:val="xdrichtextbox2"/>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D9B48-D3AF-4EEA-B199-D5C85DF5B6AA}">
  <ds:schemaRefs/>
</ds:datastoreItem>
</file>

<file path=docProps/app.xml><?xml version="1.0" encoding="utf-8"?>
<Properties xmlns="http://schemas.openxmlformats.org/officeDocument/2006/extended-properties" xmlns:vt="http://schemas.openxmlformats.org/officeDocument/2006/docPropsVTypes">
  <Template>Normal</Template>
  <Pages>13</Pages>
  <Words>743</Words>
  <Characters>4240</Characters>
  <Lines>35</Lines>
  <Paragraphs>9</Paragraphs>
  <TotalTime>7</TotalTime>
  <ScaleCrop>false</ScaleCrop>
  <LinksUpToDate>false</LinksUpToDate>
  <CharactersWithSpaces>4974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2022-03-07T09:05:00Z</dcterms:created>
  <dc:creator>Yan</dc:creator>
  <cp:lastModifiedBy>王雅妮</cp:lastModifiedBy>
  <cp:lastPrinted>2022-04-06T00:37:00Z</cp:lastPrinted>
  <dcterms:modified xsi:type="dcterms:W3CDTF">2023-03-31T09:08:54Z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D5EEDE0BD0BB4F2C9247F6CCDC886D3D</vt:lpwstr>
  </property>
</Properties>
</file>